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comments.xml" ContentType="application/vnd.openxmlformats-officedocument.wordprocessingml.comments+xml"/>
  <Override PartName="/word/footnotes.xml" ContentType="application/vnd.openxmlformats-officedocument.wordprocessingml.footnotes+xml"/>
  <Override PartName="/word/settings.xml" ContentType="application/vnd.openxmlformats-officedocument.wordprocessingml.settings+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ind w:left="0" w:right="0" w:hanging="0"/>
        <w:jc w:val="center"/>
        <w:rPr>
          <w:b/>
        </w:rPr>
      </w:pPr>
      <w:r>
        <w:rPr>
          <w:b/>
        </w:rPr>
        <w:t>SAMPLE THESIS OUTLINE</w:t>
      </w:r>
    </w:p>
    <w:p>
      <w:pPr>
        <w:pStyle w:val="Normal"/>
        <w:ind w:left="0" w:right="0" w:hanging="0"/>
        <w:jc w:val="center"/>
        <w:rPr/>
      </w:pPr>
      <w:r>
        <w:rPr/>
        <w:t>By Gary Chodorow</w:t>
      </w:r>
    </w:p>
    <w:p>
      <w:pPr>
        <w:pStyle w:val="Normal"/>
        <w:ind w:left="0" w:right="0" w:hanging="0"/>
        <w:jc w:val="center"/>
        <w:rPr/>
      </w:pPr>
      <w:r>
        <w:rPr/>
        <w:t>Revised: Nov. 7, 2007</w:t>
      </w:r>
    </w:p>
    <w:p>
      <w:pPr>
        <w:pStyle w:val="Normal"/>
        <w:ind w:left="0" w:right="0" w:hanging="0"/>
        <w:jc w:val="center"/>
        <w:rPr/>
      </w:pPr>
      <w:r>
        <w:rPr/>
      </w:r>
    </w:p>
    <w:p>
      <w:pPr>
        <w:pStyle w:val="Normal"/>
        <w:ind w:left="0" w:right="0" w:hanging="0"/>
        <w:jc w:val="center"/>
        <w:rPr/>
      </w:pPr>
      <w:r>
        <w:rPr/>
        <w:t xml:space="preserve">(I’ve used Microsoft Word’s “comments” feature to add notes to the outline. </w:t>
      </w:r>
    </w:p>
    <w:p>
      <w:pPr>
        <w:pStyle w:val="Normal"/>
        <w:ind w:left="0" w:right="0" w:hanging="0"/>
        <w:jc w:val="center"/>
        <w:rPr/>
      </w:pPr>
      <w:r>
        <w:rPr/>
        <w:t>To see them, you need to choose “view” then “final showing markup.”)</w:t>
      </w:r>
    </w:p>
    <w:p>
      <w:pPr>
        <w:pStyle w:val="Normal"/>
        <w:ind w:left="0" w:right="0" w:hanging="0"/>
        <w:rPr/>
      </w:pPr>
      <w:r>
        <w:rPr/>
      </w:r>
    </w:p>
    <w:p>
      <w:pPr>
        <w:pStyle w:val="Normal"/>
        <w:ind w:left="0" w:right="0" w:hanging="0"/>
        <w:jc w:val="center"/>
        <w:rPr/>
      </w:pPr>
      <w:r>
        <w:rPr/>
        <w:t>---------------------------------------</w:t>
      </w:r>
    </w:p>
    <w:p>
      <w:pPr>
        <w:pStyle w:val="Normal"/>
        <w:ind w:left="0" w:right="0" w:hanging="0"/>
        <w:jc w:val="center"/>
        <w:rPr/>
      </w:pPr>
      <w:r>
        <w:rPr/>
        <w:t>Instructions:</w:t>
      </w:r>
    </w:p>
    <w:p>
      <w:pPr>
        <w:pStyle w:val="Normal"/>
        <w:ind w:left="0" w:right="0" w:hanging="0"/>
        <w:rPr/>
      </w:pPr>
      <w:r>
        <w:rPr/>
      </w:r>
    </w:p>
    <w:p>
      <w:pPr>
        <w:pStyle w:val="Normal"/>
        <w:numPr>
          <w:ilvl w:val="0"/>
          <w:numId w:val="2"/>
        </w:numPr>
        <w:rPr/>
      </w:pPr>
      <w:r>
        <w:rPr/>
        <w:t>Your thesis outline should be written clearly and use complete sentences so that you can effectively communicate your ideas to me.</w:t>
      </w:r>
    </w:p>
    <w:p>
      <w:pPr>
        <w:pStyle w:val="Normal"/>
        <w:ind w:left="0" w:right="0" w:hanging="0"/>
        <w:rPr/>
      </w:pPr>
      <w:r>
        <w:rPr/>
      </w:r>
    </w:p>
    <w:p>
      <w:pPr>
        <w:pStyle w:val="Normal"/>
        <w:numPr>
          <w:ilvl w:val="0"/>
          <w:numId w:val="2"/>
        </w:numPr>
        <w:rPr/>
      </w:pPr>
      <w:r>
        <w:rPr/>
        <w:t>Your thesis should use headings for your main sections. You may also use subheadings if you wish. Your first section must use the heading “Introduction.” Your last, “Conclusion.” Give the other sections appropriate headings.</w:t>
      </w:r>
    </w:p>
    <w:p>
      <w:pPr>
        <w:pStyle w:val="Normal"/>
        <w:ind w:left="0" w:right="0" w:hanging="0"/>
        <w:rPr/>
      </w:pPr>
      <w:r>
        <w:rPr/>
      </w:r>
    </w:p>
    <w:p>
      <w:pPr>
        <w:pStyle w:val="Normal"/>
        <w:numPr>
          <w:ilvl w:val="0"/>
          <w:numId w:val="2"/>
        </w:numPr>
        <w:rPr/>
      </w:pPr>
      <w:r>
        <w:rPr/>
        <w:t>Your thesis outline should use the same numbering (I, A, 1, a) and indenting as the Sample Thesis Outline below. Your final thesis will use the same format for its headings. You can copy the format here:</w:t>
      </w:r>
    </w:p>
    <w:p>
      <w:pPr>
        <w:pStyle w:val="Normal"/>
        <w:ind w:left="0" w:right="0" w:hanging="0"/>
        <w:rPr/>
      </w:pPr>
      <w:r>
        <w:rPr/>
      </w:r>
    </w:p>
    <w:p>
      <w:pPr>
        <w:pStyle w:val="Normal"/>
        <w:numPr>
          <w:ilvl w:val="0"/>
          <w:numId w:val="3"/>
        </w:numPr>
        <w:rPr>
          <w:rFonts w:eastAsia="Times New Roman"/>
        </w:rPr>
      </w:pPr>
      <w:r>
        <w:rPr>
          <w:rFonts w:eastAsia="Times New Roman"/>
          <w:b/>
        </w:rPr>
        <w:t>…</w:t>
      </w:r>
      <w:r>
        <w:rPr>
          <w:rFonts w:eastAsia="Times New Roman"/>
        </w:rPr>
        <w:t xml:space="preserve"> </w:t>
      </w:r>
    </w:p>
    <w:p>
      <w:pPr>
        <w:pStyle w:val="Normal"/>
        <w:numPr>
          <w:ilvl w:val="1"/>
          <w:numId w:val="3"/>
        </w:numPr>
        <w:rPr>
          <w:rFonts w:eastAsia="Times New Roman"/>
        </w:rPr>
      </w:pPr>
      <w:r>
        <w:rPr>
          <w:rFonts w:eastAsia="Times New Roman"/>
        </w:rPr>
        <w:t xml:space="preserve">… </w:t>
      </w:r>
    </w:p>
    <w:p>
      <w:pPr>
        <w:pStyle w:val="Normal"/>
        <w:numPr>
          <w:ilvl w:val="2"/>
          <w:numId w:val="3"/>
        </w:numPr>
        <w:rPr>
          <w:rFonts w:eastAsia="Times New Roman"/>
        </w:rPr>
      </w:pPr>
      <w:r>
        <w:rPr>
          <w:rFonts w:eastAsia="Times New Roman"/>
        </w:rPr>
        <w:t>…</w:t>
      </w:r>
    </w:p>
    <w:p>
      <w:pPr>
        <w:pStyle w:val="Normal"/>
        <w:numPr>
          <w:ilvl w:val="3"/>
          <w:numId w:val="3"/>
        </w:numPr>
        <w:rPr>
          <w:rFonts w:eastAsia="Times New Roman"/>
        </w:rPr>
      </w:pPr>
      <w:r>
        <w:rPr>
          <w:rFonts w:eastAsia="Times New Roman"/>
        </w:rPr>
        <w:t>…</w:t>
      </w:r>
    </w:p>
    <w:p>
      <w:pPr>
        <w:pStyle w:val="Normal"/>
        <w:ind w:left="0" w:right="0" w:hanging="0"/>
        <w:rPr/>
      </w:pPr>
      <w:r>
        <w:rPr/>
      </w:r>
    </w:p>
    <w:p>
      <w:pPr>
        <w:pStyle w:val="Normal"/>
        <w:numPr>
          <w:ilvl w:val="0"/>
          <w:numId w:val="2"/>
        </w:numPr>
        <w:rPr/>
      </w:pPr>
      <w:r>
        <w:rPr/>
        <w:t xml:space="preserve">Cite all authorities and sources of fact in </w:t>
      </w:r>
      <w:r>
        <w:rPr>
          <w:i/>
        </w:rPr>
        <w:t>Bluebook</w:t>
      </w:r>
      <w:r>
        <w:rPr/>
        <w:t xml:space="preserve"> format.</w:t>
      </w:r>
    </w:p>
    <w:p>
      <w:pPr>
        <w:pStyle w:val="Normal"/>
        <w:ind w:left="0" w:right="0" w:hanging="0"/>
        <w:rPr/>
      </w:pPr>
      <w:r>
        <w:rPr/>
      </w:r>
    </w:p>
    <w:p>
      <w:pPr>
        <w:pStyle w:val="Normal"/>
        <w:ind w:left="0" w:right="0" w:hanging="0"/>
        <w:jc w:val="center"/>
        <w:rPr/>
      </w:pPr>
      <w:r>
        <w:rPr/>
        <w:t>---------------------------------------</w:t>
      </w:r>
    </w:p>
    <w:p>
      <w:pPr>
        <w:pStyle w:val="Normal"/>
        <w:ind w:left="0" w:right="0" w:hanging="0"/>
        <w:jc w:val="center"/>
        <w:rPr/>
      </w:pPr>
      <w:r>
        <w:rPr/>
      </w:r>
    </w:p>
    <w:p>
      <w:pPr>
        <w:pStyle w:val="Normal"/>
        <w:ind w:left="0" w:right="0" w:hanging="0"/>
        <w:jc w:val="center"/>
        <w:rPr/>
      </w:pPr>
      <w:r>
        <w:rPr/>
        <w:t>Student Name: Roger Billings</w:t>
      </w:r>
    </w:p>
    <w:p>
      <w:pPr>
        <w:pStyle w:val="Normal"/>
        <w:ind w:left="0" w:right="0" w:hanging="0"/>
        <w:jc w:val="center"/>
        <w:rPr/>
      </w:pPr>
      <w:r>
        <w:rPr/>
        <w:t>Thesis Title: Plagiarism in Academia and Beyond: What Is the Role of the Courts?</w:t>
      </w:r>
    </w:p>
    <w:p>
      <w:pPr>
        <w:pStyle w:val="Normal"/>
        <w:ind w:left="0" w:right="0" w:hanging="0"/>
        <w:jc w:val="center"/>
        <w:rPr/>
      </w:pPr>
      <w:r>
        <w:rPr/>
        <w:t>Date: Dec. 1, 2006</w:t>
      </w:r>
    </w:p>
    <w:p>
      <w:pPr>
        <w:pStyle w:val="Normal"/>
        <w:ind w:left="0" w:right="0" w:hanging="0"/>
        <w:rPr/>
      </w:pPr>
      <w:r>
        <w:rPr/>
      </w:r>
    </w:p>
    <w:p>
      <w:pPr>
        <w:pStyle w:val="Normal"/>
        <w:numPr>
          <w:ilvl w:val="0"/>
          <w:numId w:val="4"/>
        </w:numPr>
        <w:rPr>
          <w:rStyle w:val="CommentReference"/>
          <w:vanish w:val="false"/>
        </w:rPr>
      </w:pPr>
      <w:commentRangeStart w:id="0"/>
      <w:r>
        <w:rPr>
          <w:b/>
        </w:rPr>
        <w:t>INTRODUCTION:</w:t>
      </w:r>
      <w:r>
        <w:rPr>
          <w:rStyle w:val="CommentReference"/>
        </w:rPr>
        <w:t xml:space="preserve"> </w:t>
      </w:r>
      <w:commentRangeEnd w:id="0"/>
      <w:r>
        <w:rPr>
          <w:rStyle w:val="CommentReference"/>
        </w:rPr>
      </w:r>
      <w:r>
        <w:rPr>
          <w:rStyle w:val="CommentReference"/>
          <w:vanish w:val="false"/>
        </w:rPr>
        <w:commentReference w:id="0"/>
      </w:r>
    </w:p>
    <w:p>
      <w:pPr>
        <w:pStyle w:val="Normal"/>
        <w:ind w:left="0" w:right="0" w:hanging="0"/>
        <w:rPr/>
      </w:pPr>
      <w:r>
        <w:rPr/>
      </w:r>
    </w:p>
    <w:p>
      <w:pPr>
        <w:pStyle w:val="Normal"/>
        <w:numPr>
          <w:ilvl w:val="1"/>
          <w:numId w:val="4"/>
        </w:numPr>
        <w:rPr>
          <w:rStyle w:val="FootnoteCharacters"/>
          <w:rStyle w:val="FootnoteAnchor"/>
        </w:rPr>
      </w:pPr>
      <w:r>
        <w:rPr/>
        <w:t>Professors fired by universities for plagiarism often sue on theories of due process, breach of contract, and defamation.</w:t>
      </w:r>
      <w:r>
        <w:rPr>
          <w:rStyle w:val="FootnoteCharacters"/>
          <w:rStyle w:val="FootnoteAnchor"/>
        </w:rPr>
        <w:footnoteReference w:id="2"/>
      </w:r>
    </w:p>
    <w:p>
      <w:pPr>
        <w:pStyle w:val="Normal"/>
        <w:ind w:left="720" w:right="0" w:hanging="0"/>
        <w:rPr/>
      </w:pPr>
      <w:r>
        <w:rPr/>
      </w:r>
    </w:p>
    <w:p>
      <w:pPr>
        <w:pStyle w:val="Normal"/>
        <w:numPr>
          <w:ilvl w:val="1"/>
          <w:numId w:val="4"/>
        </w:numPr>
        <w:rPr/>
      </w:pPr>
      <w:r>
        <w:rPr/>
        <w:t xml:space="preserve">The problem is that judges overseeing this type of litigation wrongly use a </w:t>
      </w:r>
      <w:r>
        <w:rPr>
          <w:i/>
        </w:rPr>
        <w:t>de novo</w:t>
      </w:r>
      <w:r>
        <w:rPr/>
        <w:t xml:space="preserve"> standard of review, meaning that they substitute their own findings of whether or not the professor has plagiarized for those of the university.</w:t>
      </w:r>
    </w:p>
    <w:p>
      <w:pPr>
        <w:pStyle w:val="Normal"/>
        <w:ind w:left="720" w:right="0" w:hanging="0"/>
        <w:rPr/>
      </w:pPr>
      <w:r>
        <w:rPr/>
      </w:r>
    </w:p>
    <w:p>
      <w:pPr>
        <w:pStyle w:val="Normal"/>
        <w:numPr>
          <w:ilvl w:val="1"/>
          <w:numId w:val="4"/>
        </w:numPr>
        <w:ind w:left="1440" w:right="0" w:hanging="720"/>
        <w:rPr>
          <w:rStyle w:val="CommentReference"/>
          <w:vanish w:val="false"/>
        </w:rPr>
      </w:pPr>
      <w:r>
        <w:rPr/>
        <w:t>Use of the de novo standard is troublesome because</w:t>
      </w:r>
      <w:commentRangeStart w:id="1"/>
      <w:r>
        <w:rPr/>
      </w:r>
      <w:r>
        <w:rPr>
          <w:rStyle w:val="CommentReference"/>
        </w:rPr>
        <w:t>…</w:t>
      </w:r>
      <w:commentRangeEnd w:id="1"/>
      <w:r>
        <w:rPr>
          <w:rStyle w:val="CommentReference"/>
        </w:rPr>
      </w:r>
      <w:r>
        <w:rPr>
          <w:rStyle w:val="CommentReference"/>
          <w:vanish w:val="false"/>
        </w:rPr>
        <w:commentReference w:id="1"/>
      </w:r>
    </w:p>
    <w:p>
      <w:pPr>
        <w:pStyle w:val="Normal"/>
        <w:ind w:left="720" w:right="0" w:hanging="0"/>
        <w:rPr/>
      </w:pPr>
      <w:r>
        <w:rPr/>
      </w:r>
    </w:p>
    <w:p>
      <w:pPr>
        <w:pStyle w:val="Normal"/>
        <w:numPr>
          <w:ilvl w:val="1"/>
          <w:numId w:val="4"/>
        </w:numPr>
        <w:rPr/>
      </w:pPr>
      <w:r>
        <w:rPr/>
        <w:t>This article proposes a solution to the problem, which is that judges should not use a de novo standard of review but instead merely review whether the university used due process in determining whether the professor committed plagiarism.</w:t>
      </w:r>
    </w:p>
    <w:p>
      <w:pPr>
        <w:pStyle w:val="Normal"/>
        <w:ind w:left="720" w:right="0" w:hanging="0"/>
        <w:rPr/>
      </w:pPr>
      <w:r>
        <w:rPr/>
      </w:r>
    </w:p>
    <w:p>
      <w:pPr>
        <w:pStyle w:val="Normal"/>
        <w:numPr>
          <w:ilvl w:val="1"/>
          <w:numId w:val="4"/>
        </w:numPr>
        <w:rPr/>
      </w:pPr>
      <w:r>
        <w:rPr/>
        <w:t>While one commentator has proposed the solution that … and another has proposed that …, this article’s proposed solution is original because it is the first to ….</w:t>
      </w:r>
    </w:p>
    <w:p>
      <w:pPr>
        <w:pStyle w:val="Normal"/>
        <w:ind w:left="0" w:right="0" w:hanging="0"/>
        <w:rPr/>
      </w:pPr>
      <w:r>
        <w:rPr/>
      </w:r>
    </w:p>
    <w:p>
      <w:pPr>
        <w:pStyle w:val="Normal"/>
        <w:numPr>
          <w:ilvl w:val="0"/>
          <w:numId w:val="4"/>
        </w:numPr>
        <w:ind w:left="720" w:right="0" w:hanging="720"/>
        <w:rPr>
          <w:rStyle w:val="CommentReference"/>
          <w:b/>
          <w:vanish w:val="false"/>
        </w:rPr>
      </w:pPr>
      <w:commentRangeStart w:id="2"/>
      <w:r>
        <w:rPr>
          <w:b/>
        </w:rPr>
        <w:t>WHAT IS PLAGIARISM</w:t>
      </w:r>
      <w:r>
        <w:rPr>
          <w:rStyle w:val="CommentReference"/>
          <w:b/>
        </w:rPr>
        <w:t>?</w:t>
      </w:r>
      <w:commentRangeEnd w:id="2"/>
      <w:r>
        <w:rPr>
          <w:rStyle w:val="CommentReference"/>
          <w:b/>
        </w:rPr>
      </w:r>
      <w:r>
        <w:rPr>
          <w:rStyle w:val="CommentReference"/>
          <w:b/>
          <w:vanish w:val="false"/>
        </w:rPr>
        <w:commentReference w:id="2"/>
      </w:r>
    </w:p>
    <w:p>
      <w:pPr>
        <w:pStyle w:val="Normal"/>
        <w:numPr>
          <w:ilvl w:val="1"/>
          <w:numId w:val="4"/>
        </w:numPr>
        <w:rPr>
          <w:rStyle w:val="FootnoteCharacters"/>
          <w:rStyle w:val="FootnoteAnchor"/>
        </w:rPr>
      </w:pPr>
      <w:r>
        <w:rPr/>
        <w:t>Plagiarism is the borrowing of someone else’s words or ideas without attribution.</w:t>
      </w:r>
      <w:r>
        <w:rPr>
          <w:rStyle w:val="FootnoteCharacters"/>
          <w:rStyle w:val="FootnoteAnchor"/>
        </w:rPr>
        <w:footnoteReference w:id="3"/>
      </w:r>
    </w:p>
    <w:p>
      <w:pPr>
        <w:pStyle w:val="Normal"/>
        <w:ind w:left="3600" w:right="0" w:hanging="720"/>
        <w:rPr/>
      </w:pPr>
      <w:r>
        <w:rPr/>
      </w:r>
    </w:p>
    <w:p>
      <w:pPr>
        <w:pStyle w:val="Normal"/>
        <w:numPr>
          <w:ilvl w:val="1"/>
          <w:numId w:val="4"/>
        </w:numPr>
        <w:rPr>
          <w:rStyle w:val="FootnoteCharacters"/>
          <w:rStyle w:val="FootnoteAnchor"/>
        </w:rPr>
      </w:pPr>
      <w:r>
        <w:rPr/>
        <w:t>Academia imposes general requirements for acknowledgment of sources in academic work when words or ideas are borrowed from others.</w:t>
      </w:r>
      <w:r>
        <w:rPr>
          <w:rStyle w:val="FootnoteCharacters"/>
          <w:rStyle w:val="FootnoteAnchor"/>
        </w:rPr>
        <w:footnoteReference w:id="4"/>
      </w:r>
    </w:p>
    <w:p>
      <w:pPr>
        <w:pStyle w:val="Normal"/>
        <w:ind w:left="720" w:right="0" w:hanging="0"/>
        <w:rPr/>
      </w:pPr>
      <w:r>
        <w:rPr/>
      </w:r>
    </w:p>
    <w:p>
      <w:pPr>
        <w:pStyle w:val="Normal"/>
        <w:numPr>
          <w:ilvl w:val="1"/>
          <w:numId w:val="4"/>
        </w:numPr>
        <w:rPr/>
      </w:pPr>
      <w:r>
        <w:rPr/>
        <w:t>Plagiarism is not defined by law but instead by university codes of conduct.</w:t>
      </w:r>
    </w:p>
    <w:p>
      <w:pPr>
        <w:pStyle w:val="Normal"/>
        <w:numPr>
          <w:ilvl w:val="2"/>
          <w:numId w:val="4"/>
        </w:numPr>
        <w:rPr/>
      </w:pPr>
      <w:r>
        <w:rPr/>
        <w:t xml:space="preserve">Plagiarism is not the same as copyright violation because … </w:t>
      </w:r>
      <w:r>
        <w:rPr>
          <w:rStyle w:val="FootnoteCharacters"/>
          <w:rStyle w:val="FootnoteAnchor"/>
        </w:rPr>
        <w:footnoteReference w:id="5"/>
      </w:r>
      <w:r>
        <w:rPr/>
        <w:t xml:space="preserve"> </w:t>
      </w:r>
    </w:p>
    <w:p>
      <w:pPr>
        <w:pStyle w:val="Normal"/>
        <w:ind w:left="720" w:right="0" w:hanging="0"/>
        <w:rPr/>
      </w:pPr>
      <w:r>
        <w:rPr/>
      </w:r>
    </w:p>
    <w:p>
      <w:pPr>
        <w:pStyle w:val="Normal"/>
        <w:numPr>
          <w:ilvl w:val="0"/>
          <w:numId w:val="4"/>
        </w:numPr>
        <w:rPr>
          <w:b/>
        </w:rPr>
      </w:pPr>
      <w:r>
        <w:rPr>
          <w:b/>
        </w:rPr>
        <w:t>HOW ISSUES OF PLAGIARISM ARISE IN LITIGATION</w:t>
      </w:r>
    </w:p>
    <w:p>
      <w:pPr>
        <w:pStyle w:val="Normal"/>
        <w:numPr>
          <w:ilvl w:val="1"/>
          <w:numId w:val="4"/>
        </w:numPr>
        <w:rPr>
          <w:rStyle w:val="FootnoteCharacters"/>
          <w:rStyle w:val="FootnoteAnchor"/>
        </w:rPr>
      </w:pPr>
      <w:r>
        <w:rPr/>
        <w:t>Professors charged with plagiarism often lose their credibility, which for professors and journalists is a serious problem. So professors often fight the charges.</w:t>
      </w:r>
      <w:r>
        <w:rPr>
          <w:rStyle w:val="FootnoteCharacters"/>
          <w:rStyle w:val="FootnoteAnchor"/>
        </w:rPr>
        <w:footnoteReference w:id="6"/>
      </w:r>
    </w:p>
    <w:p>
      <w:pPr>
        <w:pStyle w:val="Normal"/>
        <w:ind w:left="720" w:right="0" w:hanging="0"/>
        <w:rPr/>
      </w:pPr>
      <w:r>
        <w:rPr/>
      </w:r>
    </w:p>
    <w:p>
      <w:pPr>
        <w:pStyle w:val="Normal"/>
        <w:numPr>
          <w:ilvl w:val="1"/>
          <w:numId w:val="4"/>
        </w:numPr>
        <w:rPr>
          <w:rStyle w:val="FootnoteCharacters"/>
          <w:rStyle w:val="FootnoteAnchor"/>
        </w:rPr>
      </w:pPr>
      <w:r>
        <w:rPr/>
        <w:t>A typical plagiarism investigation at a university involves the following steps.</w:t>
      </w:r>
      <w:r>
        <w:rPr>
          <w:rStyle w:val="FootnoteCharacters"/>
          <w:rStyle w:val="FootnoteAnchor"/>
        </w:rPr>
        <w:footnoteReference w:id="7"/>
      </w:r>
    </w:p>
    <w:p>
      <w:pPr>
        <w:pStyle w:val="Normal"/>
        <w:numPr>
          <w:ilvl w:val="2"/>
          <w:numId w:val="4"/>
        </w:numPr>
        <w:rPr/>
      </w:pPr>
      <w:r>
        <w:rPr/>
        <w:t xml:space="preserve">A complaint from a whistleblower. </w:t>
      </w:r>
    </w:p>
    <w:p>
      <w:pPr>
        <w:pStyle w:val="Normal"/>
        <w:numPr>
          <w:ilvl w:val="2"/>
          <w:numId w:val="4"/>
        </w:numPr>
        <w:rPr/>
      </w:pPr>
      <w:r>
        <w:rPr/>
        <w:t>An investigation by a committee</w:t>
      </w:r>
    </w:p>
    <w:p>
      <w:pPr>
        <w:pStyle w:val="Normal"/>
        <w:numPr>
          <w:ilvl w:val="2"/>
          <w:numId w:val="4"/>
        </w:numPr>
        <w:rPr/>
      </w:pPr>
      <w:r>
        <w:rPr/>
        <w:t>A hearing before a peer review hearing committee, which issues findings of facts and conclusions as to whether or not the professor has plagiarized, as well as a recommendation regarding how (if at all) the professor should be penalized.</w:t>
      </w:r>
    </w:p>
    <w:p>
      <w:pPr>
        <w:pStyle w:val="Normal"/>
        <w:numPr>
          <w:ilvl w:val="2"/>
          <w:numId w:val="4"/>
        </w:numPr>
        <w:rPr/>
      </w:pPr>
      <w:r>
        <w:rPr/>
        <w:t>A decision by the provost based on the committee’s recommendation.</w:t>
      </w:r>
    </w:p>
    <w:p>
      <w:pPr>
        <w:pStyle w:val="Normal"/>
        <w:ind w:left="720" w:right="0" w:hanging="0"/>
        <w:rPr/>
      </w:pPr>
      <w:r>
        <w:rPr/>
      </w:r>
    </w:p>
    <w:p>
      <w:pPr>
        <w:pStyle w:val="Normal"/>
        <w:numPr>
          <w:ilvl w:val="1"/>
          <w:numId w:val="4"/>
        </w:numPr>
        <w:rPr/>
      </w:pPr>
      <w:r>
        <w:rPr/>
        <w:t>Professors fired for plagiarism typically sue claiming denial of due process, defamation, breach of contract, or discrimination.</w:t>
      </w:r>
    </w:p>
    <w:p>
      <w:pPr>
        <w:pStyle w:val="Normal"/>
        <w:numPr>
          <w:ilvl w:val="2"/>
          <w:numId w:val="4"/>
        </w:numPr>
        <w:rPr/>
      </w:pPr>
      <w:r>
        <w:rPr/>
        <w:t>A due process claim usually includes allegations that….</w:t>
      </w:r>
    </w:p>
    <w:p>
      <w:pPr>
        <w:pStyle w:val="Normal"/>
        <w:numPr>
          <w:ilvl w:val="2"/>
          <w:numId w:val="4"/>
        </w:numPr>
        <w:rPr>
          <w:rStyle w:val="FootnoteCharacters"/>
          <w:rStyle w:val="FootnoteAnchor"/>
        </w:rPr>
      </w:pPr>
      <w:r>
        <w:rPr/>
        <w:t>A defamation claim usually includes allegations that….</w:t>
      </w:r>
      <w:r>
        <w:rPr>
          <w:rStyle w:val="FootnoteCharacters"/>
          <w:rStyle w:val="FootnoteAnchor"/>
        </w:rPr>
        <w:footnoteReference w:id="8"/>
      </w:r>
    </w:p>
    <w:p>
      <w:pPr>
        <w:pStyle w:val="Normal"/>
        <w:numPr>
          <w:ilvl w:val="2"/>
          <w:numId w:val="4"/>
        </w:numPr>
        <w:rPr/>
      </w:pPr>
      <w:r>
        <w:rPr/>
        <w:t>A breach of contract claim usually includes allegations that….</w:t>
      </w:r>
    </w:p>
    <w:p>
      <w:pPr>
        <w:pStyle w:val="Normal"/>
        <w:numPr>
          <w:ilvl w:val="2"/>
          <w:numId w:val="4"/>
        </w:numPr>
        <w:rPr/>
      </w:pPr>
      <w:r>
        <w:rPr/>
        <w:t>A discrimination claim usually includes allegations that….</w:t>
      </w:r>
    </w:p>
    <w:p>
      <w:pPr>
        <w:pStyle w:val="Normal"/>
        <w:ind w:left="0" w:right="0" w:hanging="0"/>
        <w:rPr/>
      </w:pPr>
      <w:r>
        <w:rPr/>
      </w:r>
    </w:p>
    <w:p>
      <w:pPr>
        <w:pStyle w:val="Normal"/>
        <w:numPr>
          <w:ilvl w:val="0"/>
          <w:numId w:val="4"/>
        </w:numPr>
        <w:ind w:left="720" w:right="0" w:hanging="720"/>
        <w:rPr>
          <w:rStyle w:val="CommentReference"/>
          <w:vanish w:val="false"/>
        </w:rPr>
      </w:pPr>
      <w:r>
        <w:rPr>
          <w:b/>
        </w:rPr>
        <w:t xml:space="preserve">JUDGES’ USE OF A DE NOVO STANDARD FOR DETERMINING WHETHER PLAGIARISM HAS OCCURRED IS BAD LAW AND BAD </w:t>
      </w:r>
      <w:commentRangeStart w:id="3"/>
      <w:r>
        <w:rPr>
          <w:b/>
        </w:rPr>
        <w:t>POLIC</w:t>
      </w:r>
      <w:r>
        <w:rPr>
          <w:rStyle w:val="CommentReference"/>
        </w:rPr>
        <w:t>Y</w:t>
      </w:r>
      <w:commentRangeEnd w:id="3"/>
      <w:r>
        <w:rPr>
          <w:rStyle w:val="CommentReference"/>
        </w:rPr>
      </w:r>
      <w:r>
        <w:rPr>
          <w:rStyle w:val="CommentReference"/>
          <w:vanish w:val="false"/>
        </w:rPr>
        <w:commentReference w:id="3"/>
      </w:r>
    </w:p>
    <w:p>
      <w:pPr>
        <w:pStyle w:val="Normal"/>
        <w:numPr>
          <w:ilvl w:val="1"/>
          <w:numId w:val="4"/>
        </w:numPr>
        <w:rPr>
          <w:rFonts w:eastAsia="Times New Roman"/>
        </w:rPr>
      </w:pPr>
      <w:r>
        <w:rPr>
          <w:rFonts w:eastAsia="Times New Roman"/>
        </w:rPr>
        <w:t>…</w:t>
      </w:r>
    </w:p>
    <w:p>
      <w:pPr>
        <w:pStyle w:val="Normal"/>
        <w:pageBreakBefore/>
        <w:ind w:left="0" w:right="0" w:hanging="0"/>
        <w:rPr/>
      </w:pPr>
      <w:r>
        <w:rPr/>
      </w:r>
    </w:p>
    <w:p>
      <w:pPr>
        <w:pStyle w:val="Normal"/>
        <w:numPr>
          <w:ilvl w:val="0"/>
          <w:numId w:val="4"/>
        </w:numPr>
        <w:ind w:left="720" w:right="0" w:hanging="720"/>
        <w:rPr/>
      </w:pPr>
      <w:r>
        <w:rPr>
          <w:b/>
        </w:rPr>
        <w:t>JUDGES SHOULD REVIEW UNIVERSITY DETERMINATIONS OF PLAGIARISM ONLY TO DETERMINE WHETHER THE PROFESSOR RECEIVED DUE PROCE</w:t>
      </w:r>
      <w:commentRangeStart w:id="4"/>
      <w:r>
        <w:rPr>
          <w:b/>
        </w:rPr>
        <w:t>S</w:t>
      </w:r>
      <w:r>
        <w:rPr>
          <w:rStyle w:val="CommentReference"/>
        </w:rPr>
        <w:t>S</w:t>
      </w:r>
      <w:commentRangeEnd w:id="4"/>
      <w:r>
        <w:rPr>
          <w:rStyle w:val="CommentReference"/>
        </w:rPr>
      </w:r>
      <w:r>
        <w:rPr>
          <w:rStyle w:val="CommentReference"/>
          <w:vanish w:val="false"/>
        </w:rPr>
        <w:commentReference w:id="4"/>
      </w:r>
      <w:r>
        <w:rPr/>
        <w:t xml:space="preserve"> </w:t>
      </w:r>
    </w:p>
    <w:p>
      <w:pPr>
        <w:pStyle w:val="Normal"/>
        <w:numPr>
          <w:ilvl w:val="1"/>
          <w:numId w:val="4"/>
        </w:numPr>
        <w:rPr/>
      </w:pPr>
      <w:r>
        <w:rPr/>
        <w:t xml:space="preserve">My proposal is that instead of using a </w:t>
      </w:r>
      <w:r>
        <w:rPr>
          <w:i/>
        </w:rPr>
        <w:t>de novo</w:t>
      </w:r>
      <w:r>
        <w:rPr/>
        <w:t xml:space="preserve"> standard of review to determine whether the professor has plagiarized, the court instead should review just two due process issues: </w:t>
      </w:r>
    </w:p>
    <w:p>
      <w:pPr>
        <w:pStyle w:val="Normal"/>
        <w:numPr>
          <w:ilvl w:val="2"/>
          <w:numId w:val="4"/>
        </w:numPr>
        <w:rPr/>
      </w:pPr>
      <w:r>
        <w:rPr/>
        <w:t>Whether the professor was given an opportunity to present his evidence that he did not plagiarize.</w:t>
      </w:r>
    </w:p>
    <w:p>
      <w:pPr>
        <w:pStyle w:val="Normal"/>
        <w:numPr>
          <w:ilvl w:val="2"/>
          <w:numId w:val="4"/>
        </w:numPr>
        <w:rPr/>
      </w:pPr>
      <w:r>
        <w:rPr/>
        <w:t xml:space="preserve">Whether the evidence before the hearing committee was minimally sufficient for the committee to have found that professor guilty of plagiarism under the university’s own definition of the offense. </w:t>
      </w:r>
    </w:p>
    <w:p>
      <w:pPr>
        <w:pStyle w:val="Normal"/>
        <w:ind w:left="720" w:right="0" w:hanging="0"/>
        <w:rPr/>
      </w:pPr>
      <w:r>
        <w:rPr/>
      </w:r>
    </w:p>
    <w:p>
      <w:pPr>
        <w:pStyle w:val="Normal"/>
        <w:numPr>
          <w:ilvl w:val="1"/>
          <w:numId w:val="4"/>
        </w:numPr>
        <w:rPr>
          <w:rStyle w:val="FootnoteCharacters"/>
          <w:rStyle w:val="FootnoteAnchor"/>
        </w:rPr>
      </w:pPr>
      <w:r>
        <w:rPr/>
        <w:t>This rule should, in fact, already be applied in judicial review of plagiarism decisions by public universities. Such universities are government agencies and like other agencies that hold quasi-judicial hearings, their findings of facts are not reviewable unless the accused was not given an opportunity to present evidence or there was no minimal evidence in support of the agency’s finding.</w:t>
      </w:r>
      <w:r>
        <w:rPr>
          <w:rStyle w:val="FootnoteCharacters"/>
          <w:rStyle w:val="FootnoteAnchor"/>
        </w:rPr>
        <w:footnoteReference w:id="9"/>
      </w:r>
    </w:p>
    <w:p>
      <w:pPr>
        <w:pStyle w:val="Normal"/>
        <w:ind w:left="720" w:right="0" w:hanging="0"/>
        <w:rPr/>
      </w:pPr>
      <w:r>
        <w:rPr/>
      </w:r>
    </w:p>
    <w:p>
      <w:pPr>
        <w:pStyle w:val="Normal"/>
        <w:numPr>
          <w:ilvl w:val="1"/>
          <w:numId w:val="4"/>
        </w:numPr>
        <w:rPr/>
      </w:pPr>
      <w:r>
        <w:rPr/>
        <w:t>One advantage of this rule is that universities are better equipped than courts to make plagiarism determinations:</w:t>
      </w:r>
    </w:p>
    <w:p>
      <w:pPr>
        <w:pStyle w:val="Normal"/>
        <w:numPr>
          <w:ilvl w:val="2"/>
          <w:numId w:val="4"/>
        </w:numPr>
        <w:rPr>
          <w:rStyle w:val="FootnoteCharacters"/>
          <w:rStyle w:val="FootnoteAnchor"/>
        </w:rPr>
      </w:pPr>
      <w:r>
        <w:rPr/>
        <w:t>Managing a university requires special skills and sensitivities.</w:t>
      </w:r>
      <w:r>
        <w:rPr>
          <w:rStyle w:val="FootnoteCharacters"/>
          <w:rStyle w:val="FootnoteAnchor"/>
        </w:rPr>
        <w:footnoteReference w:id="10"/>
      </w:r>
    </w:p>
    <w:p>
      <w:pPr>
        <w:pStyle w:val="Normal"/>
        <w:numPr>
          <w:ilvl w:val="2"/>
          <w:numId w:val="4"/>
        </w:numPr>
        <w:rPr>
          <w:rStyle w:val="FootnoteCharacters"/>
          <w:rStyle w:val="FootnoteAnchor"/>
        </w:rPr>
      </w:pPr>
      <w:r>
        <w:rPr/>
        <w:t xml:space="preserve">Universities have expertise in making similar determinations such as … </w:t>
      </w:r>
      <w:r>
        <w:rPr>
          <w:rStyle w:val="FootnoteCharacters"/>
          <w:rStyle w:val="FootnoteAnchor"/>
        </w:rPr>
        <w:footnoteReference w:id="11"/>
      </w:r>
    </w:p>
    <w:p>
      <w:pPr>
        <w:pStyle w:val="Normal"/>
        <w:ind w:left="3600" w:right="0" w:hanging="720"/>
        <w:rPr/>
      </w:pPr>
      <w:r>
        <w:rPr/>
      </w:r>
    </w:p>
    <w:p>
      <w:pPr>
        <w:pStyle w:val="Normal"/>
        <w:numPr>
          <w:ilvl w:val="1"/>
          <w:numId w:val="4"/>
        </w:numPr>
        <w:rPr/>
      </w:pPr>
      <w:r>
        <w:rPr/>
        <w:t>Another advantage of this rule is that it preserves university autonomy.</w:t>
      </w:r>
    </w:p>
    <w:p>
      <w:pPr>
        <w:pStyle w:val="Normal"/>
        <w:numPr>
          <w:ilvl w:val="2"/>
          <w:numId w:val="4"/>
        </w:numPr>
        <w:rPr>
          <w:rStyle w:val="FootnoteCharacters"/>
          <w:rStyle w:val="FootnoteAnchor"/>
        </w:rPr>
      </w:pPr>
      <w:r>
        <w:rPr/>
        <w:t>Higher education can only flourish in an atmosphere of freedom untrammeled by government influence.</w:t>
      </w:r>
      <w:r>
        <w:rPr>
          <w:rStyle w:val="FootnoteCharacters"/>
          <w:rStyle w:val="FootnoteAnchor"/>
        </w:rPr>
        <w:footnoteReference w:id="12"/>
      </w:r>
    </w:p>
    <w:p>
      <w:pPr>
        <w:pStyle w:val="Normal"/>
        <w:numPr>
          <w:ilvl w:val="2"/>
          <w:numId w:val="4"/>
        </w:numPr>
        <w:rPr>
          <w:rStyle w:val="FootnoteCharacters"/>
          <w:rStyle w:val="FootnoteAnchor"/>
        </w:rPr>
      </w:pPr>
      <w:r>
        <w:rPr/>
        <w:t>Universities need autonomy because many schools, reflecting various standards, attitudes, and values concerning student behavior, attract students because they embody either a particular conservative or liberal view. For example, many people enter religious universities with the sole expectation that school officials will hold all students to a higher standard of moral conduct.</w:t>
      </w:r>
      <w:r>
        <w:rPr>
          <w:rStyle w:val="FootnoteCharacters"/>
          <w:rStyle w:val="FootnoteAnchor"/>
        </w:rPr>
        <w:footnoteReference w:id="13"/>
      </w:r>
    </w:p>
    <w:p>
      <w:pPr>
        <w:pStyle w:val="Normal"/>
        <w:ind w:left="720" w:right="0" w:hanging="0"/>
        <w:rPr/>
      </w:pPr>
      <w:r>
        <w:rPr/>
      </w:r>
    </w:p>
    <w:p>
      <w:pPr>
        <w:pStyle w:val="Normal"/>
        <w:numPr>
          <w:ilvl w:val="1"/>
          <w:numId w:val="4"/>
        </w:numPr>
        <w:rPr/>
      </w:pPr>
      <w:r>
        <w:rPr/>
        <w:t>It could be argued that this proposed limitations on judicial review give too much power to university officials who may use that power arbitrarily, running roughshod over professors’ reputations and careers. Nevertheless, as argued above, universities have greater expertise and sensitivities to such issues than courts, so the results should be less arbitrary than court decisions.</w:t>
      </w:r>
    </w:p>
    <w:p>
      <w:pPr>
        <w:pStyle w:val="Normal"/>
        <w:numPr>
          <w:ilvl w:val="2"/>
          <w:numId w:val="4"/>
        </w:numPr>
        <w:rPr/>
      </w:pPr>
      <w:r>
        <w:rPr/>
        <w:t>Also, since different universities may have different procedures and different definitions of plagiarism, a professor can protect her interests by contracting with a university that has procedures and definitions to her liking.</w:t>
      </w:r>
    </w:p>
    <w:p>
      <w:pPr>
        <w:pStyle w:val="Normal"/>
        <w:ind w:left="720" w:right="0" w:hanging="0"/>
        <w:rPr/>
      </w:pPr>
      <w:r>
        <w:rPr/>
      </w:r>
    </w:p>
    <w:p>
      <w:pPr>
        <w:pStyle w:val="Normal"/>
        <w:numPr>
          <w:ilvl w:val="1"/>
          <w:numId w:val="4"/>
        </w:numPr>
        <w:rPr/>
      </w:pPr>
      <w:r>
        <w:rPr/>
        <w:t>This rule, if applied to the following examples, would reach fair results:</w:t>
      </w:r>
    </w:p>
    <w:p>
      <w:pPr>
        <w:pStyle w:val="Normal"/>
        <w:numPr>
          <w:ilvl w:val="2"/>
          <w:numId w:val="4"/>
        </w:numPr>
        <w:rPr>
          <w:rFonts w:eastAsia="Times New Roman"/>
        </w:rPr>
      </w:pPr>
      <w:r>
        <w:rPr>
          <w:rFonts w:eastAsia="Times New Roman"/>
        </w:rPr>
        <w:t>…</w:t>
      </w:r>
    </w:p>
    <w:p>
      <w:pPr>
        <w:pStyle w:val="Normal"/>
        <w:numPr>
          <w:ilvl w:val="2"/>
          <w:numId w:val="4"/>
        </w:numPr>
        <w:rPr>
          <w:rFonts w:eastAsia="Times New Roman"/>
        </w:rPr>
      </w:pPr>
      <w:r>
        <w:rPr>
          <w:rFonts w:eastAsia="Times New Roman"/>
        </w:rPr>
        <w:t>…</w:t>
      </w:r>
    </w:p>
    <w:p>
      <w:pPr>
        <w:pStyle w:val="Normal"/>
        <w:ind w:left="720" w:right="0" w:hanging="0"/>
        <w:rPr/>
      </w:pPr>
      <w:r>
        <w:rPr/>
      </w:r>
    </w:p>
    <w:p>
      <w:pPr>
        <w:pStyle w:val="Normal"/>
        <w:numPr>
          <w:ilvl w:val="1"/>
          <w:numId w:val="4"/>
        </w:numPr>
        <w:rPr/>
      </w:pPr>
      <w:r>
        <w:rPr/>
        <w:t>Admittedly, it is problematic to apply this rule to the following situation because an unfair result would be possible….</w:t>
      </w:r>
    </w:p>
    <w:p>
      <w:pPr>
        <w:pStyle w:val="Normal"/>
        <w:ind w:left="720" w:right="0" w:hanging="0"/>
        <w:rPr/>
      </w:pPr>
      <w:r>
        <w:rPr/>
      </w:r>
    </w:p>
    <w:p>
      <w:pPr>
        <w:pStyle w:val="Normal"/>
        <w:numPr>
          <w:ilvl w:val="1"/>
          <w:numId w:val="4"/>
        </w:numPr>
        <w:rPr/>
      </w:pPr>
      <w:r>
        <w:rPr/>
        <w:t xml:space="preserve">The law regulating lawsuits against universities for </w:t>
      </w:r>
      <w:r>
        <w:rPr>
          <w:i/>
        </w:rPr>
        <w:t>wrongfully expelling students</w:t>
      </w:r>
      <w:r>
        <w:rPr/>
        <w:t xml:space="preserve"> is also very confused, with some courts retrying the facts of the university’s disciplinary committee and other courts more appropriately limiting their inquiry to basic due process issues.</w:t>
      </w:r>
      <w:r>
        <w:rPr>
          <w:rStyle w:val="FootnoteCharacters"/>
          <w:rStyle w:val="FootnoteAnchor"/>
        </w:rPr>
        <w:footnoteReference w:id="14"/>
      </w:r>
      <w:r>
        <w:rPr/>
        <w:t xml:space="preserve"> The best solution would seem to be to use the same limited standard of review proposed here for plagiarism dismissals because….</w:t>
      </w:r>
    </w:p>
    <w:p>
      <w:pPr>
        <w:pStyle w:val="Normal"/>
        <w:ind w:left="0" w:right="0" w:hanging="0"/>
        <w:rPr/>
      </w:pPr>
      <w:r>
        <w:rPr/>
      </w:r>
    </w:p>
    <w:p>
      <w:pPr>
        <w:pStyle w:val="Normal"/>
        <w:numPr>
          <w:ilvl w:val="0"/>
          <w:numId w:val="4"/>
        </w:numPr>
        <w:ind w:left="720" w:right="0" w:hanging="720"/>
        <w:rPr>
          <w:rStyle w:val="CommentReference"/>
          <w:vanish w:val="false"/>
        </w:rPr>
      </w:pPr>
      <w:commentRangeStart w:id="5"/>
      <w:r>
        <w:rPr>
          <w:b/>
        </w:rPr>
        <w:t>CONCLUSIO</w:t>
      </w:r>
      <w:r>
        <w:rPr>
          <w:rStyle w:val="CommentReference"/>
        </w:rPr>
        <w:t>N</w:t>
      </w:r>
      <w:commentRangeEnd w:id="5"/>
      <w:r>
        <w:rPr>
          <w:rStyle w:val="CommentReference"/>
        </w:rPr>
      </w:r>
      <w:r>
        <w:rPr>
          <w:rStyle w:val="CommentReference"/>
          <w:vanish w:val="false"/>
        </w:rPr>
        <w:commentReference w:id="5"/>
      </w:r>
    </w:p>
    <w:p>
      <w:pPr>
        <w:pStyle w:val="Normal"/>
        <w:numPr>
          <w:ilvl w:val="1"/>
          <w:numId w:val="4"/>
        </w:numPr>
        <w:rPr>
          <w:rFonts w:eastAsia="Times New Roman"/>
        </w:rPr>
      </w:pPr>
      <w:r>
        <w:rPr>
          <w:rFonts w:eastAsia="Times New Roman"/>
        </w:rPr>
        <w:t>…</w:t>
      </w:r>
    </w:p>
    <w:p>
      <w:pPr>
        <w:pStyle w:val="Normal"/>
        <w:numPr>
          <w:ilvl w:val="1"/>
          <w:numId w:val="4"/>
        </w:numPr>
        <w:rPr/>
      </w:pPr>
      <w:r>
        <w:rPr/>
        <w:t>Another potential solution not covered here but that deserves further research is the wisdom of having the U.S. Department of Education promulgate federal rules on plagiarism and making federal funding for universities contingent on adoption of those rules….</w:t>
      </w:r>
    </w:p>
    <w:sectPr>
      <w:footerReference w:type="default" r:id="rId2"/>
      <w:footerReference w:type="first" r:id="rId3"/>
      <w:footnotePr>
        <w:numFmt w:val="decimal"/>
      </w:footnotePr>
      <w:type w:val="nextPage"/>
      <w:pgSz w:w="11906" w:h="16838"/>
      <w:pgMar w:left="1296" w:right="1296" w:header="0" w:top="1296" w:footer="1440" w:bottom="1496" w:gutter="0"/>
      <w:pgNumType w:fmt="decimal"/>
      <w:formProt w:val="false"/>
      <w:titlePg/>
      <w:textDirection w:val="lrTb"/>
      <w:docGrid w:type="default" w:linePitch="326"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comment w:id="0" w:author="Gary" w:date="2007-12-08T12:26:00Z" w:initials="GC">
    <w:p>
      <w:r>
        <w:rPr>
          <w:rFonts w:ascii="Times New Roman" w:hAnsi="Times New Roman" w:eastAsia="SimSun;宋体" w:cs="Times New Roman"/>
          <w:color w:val="auto"/>
          <w:sz w:val="20"/>
          <w:szCs w:val="20"/>
          <w:lang w:val="en-US" w:eastAsia="zh-CN" w:bidi="ar-SA"/>
        </w:rPr>
        <w:t>Your Introductions should:</w:t>
      </w:r>
    </w:p>
    <w:p>
      <w:r>
        <w:rPr>
          <w:rFonts w:ascii="Times New Roman" w:hAnsi="Times New Roman" w:eastAsia="SimSun;宋体" w:cs="Times New Roman"/>
          <w:color w:val="auto"/>
          <w:sz w:val="20"/>
          <w:szCs w:val="20"/>
          <w:lang w:val="en-US" w:eastAsia="zh-CN" w:bidi="ar-SA"/>
        </w:rPr>
        <w:t>* State your claim.</w:t>
      </w:r>
    </w:p>
    <w:p>
      <w:r>
        <w:rPr>
          <w:rFonts w:ascii="Times New Roman" w:hAnsi="Times New Roman" w:eastAsia="SimSun;宋体" w:cs="Times New Roman"/>
          <w:color w:val="auto"/>
          <w:sz w:val="20"/>
          <w:szCs w:val="20"/>
          <w:lang w:val="en-US" w:eastAsia="zh-CN" w:bidi="ar-SA"/>
        </w:rPr>
        <w:t>* Give sufficient factual &amp; legal background so your claim is understandable &amp; compelling.</w:t>
      </w:r>
    </w:p>
    <w:p>
      <w:r>
        <w:rPr>
          <w:rFonts w:ascii="Times New Roman" w:hAnsi="Times New Roman" w:eastAsia="SimSun;宋体" w:cs="Times New Roman"/>
          <w:color w:val="auto"/>
          <w:sz w:val="20"/>
          <w:szCs w:val="20"/>
          <w:lang w:val="en-US" w:eastAsia="zh-CN" w:bidi="ar-SA"/>
        </w:rPr>
        <w:t>* Explain why your claim is original.</w:t>
      </w:r>
    </w:p>
    <w:p>
      <w:r>
        <w:rPr/>
      </w:r>
    </w:p>
    <w:p>
      <w:r>
        <w:rPr>
          <w:rFonts w:ascii="Times New Roman" w:hAnsi="Times New Roman" w:eastAsia="SimSun;宋体" w:cs="Times New Roman"/>
          <w:color w:val="auto"/>
          <w:sz w:val="20"/>
          <w:szCs w:val="20"/>
          <w:lang w:val="en-US" w:eastAsia="zh-CN" w:bidi="ar-SA"/>
        </w:rPr>
        <w:t>In your full draft thesis, your introduction should end with a roadmap to the rest of the paper, but you needn’t put that in your outline.</w:t>
      </w:r>
    </w:p>
  </w:comment>
  <w:comment w:id="1" w:author="Gary" w:date="2007-12-08T12:23:00Z" w:initials="GC">
    <w:p>
      <w:r>
        <w:rPr>
          <w:rFonts w:ascii="Times New Roman" w:hAnsi="Times New Roman" w:eastAsia="SimSun;宋体" w:cs="Times New Roman"/>
          <w:color w:val="auto"/>
          <w:sz w:val="20"/>
          <w:szCs w:val="20"/>
          <w:lang w:val="en-US" w:eastAsia="zh-CN" w:bidi="ar-SA"/>
        </w:rPr>
        <w:t>I’ve used ellipses here to show parts of the outline that I’ve omitted from this sample.</w:t>
      </w:r>
    </w:p>
  </w:comment>
  <w:comment w:id="2" w:author="Gary" w:date="2007-12-08T12:33:00Z" w:initials="GC">
    <w:p>
      <w:r>
        <w:rPr/>
      </w:r>
    </w:p>
    <w:p>
      <w:r>
        <w:rPr>
          <w:rFonts w:ascii="Times New Roman" w:hAnsi="Times New Roman" w:eastAsia="SimSun;宋体" w:cs="Times New Roman"/>
          <w:color w:val="auto"/>
          <w:sz w:val="20"/>
          <w:szCs w:val="20"/>
          <w:lang w:val="en-US" w:eastAsia="zh-CN" w:bidi="ar-SA"/>
        </w:rPr>
        <w:t>You should have one or more sections that provide sufficient factual and legal background for any law-educated reader to understand your analysis. Remember that you are writing in English because your reader is a foreigner. So, assume little or no knowledge of the Chinese legal system.</w:t>
      </w:r>
    </w:p>
    <w:p>
      <w:r>
        <w:rPr/>
      </w:r>
    </w:p>
    <w:p>
      <w:r>
        <w:rPr>
          <w:rFonts w:ascii="Times New Roman" w:hAnsi="Times New Roman" w:eastAsia="SimSun;宋体" w:cs="Times New Roman"/>
          <w:color w:val="auto"/>
          <w:sz w:val="20"/>
          <w:szCs w:val="20"/>
          <w:lang w:val="en-US" w:eastAsia="zh-CN" w:bidi="ar-SA"/>
        </w:rPr>
        <w:t>In this sample outline, parts II &amp; III consist of factual and legal background information.</w:t>
      </w:r>
    </w:p>
  </w:comment>
  <w:comment w:id="3" w:author="Gary" w:date="2007-12-10T08:27:00Z" w:initials="GC">
    <w:p>
      <w:r>
        <w:rPr/>
      </w:r>
    </w:p>
    <w:p>
      <w:r>
        <w:rPr>
          <w:rFonts w:ascii="Times New Roman" w:hAnsi="Times New Roman" w:eastAsia="SimSun;宋体" w:cs="Times New Roman"/>
          <w:color w:val="auto"/>
          <w:sz w:val="24"/>
          <w:szCs w:val="24"/>
          <w:lang w:val="en-US" w:eastAsia="zh-CN" w:bidi="ar-SA"/>
        </w:rPr>
        <w:t xml:space="preserve">In this outline, parts IV and V are the analysis. The analysis should make up the bulk of the outline. Note how in this example, IV analyzes the problem and V analyzes the proposed solution. </w:t>
      </w:r>
    </w:p>
    <w:p>
      <w:r>
        <w:rPr/>
      </w:r>
    </w:p>
    <w:p>
      <w:r>
        <w:rPr/>
      </w:r>
    </w:p>
    <w:p>
      <w:r>
        <w:rPr>
          <w:rFonts w:ascii="Times New Roman" w:hAnsi="Times New Roman" w:eastAsia="SimSun;宋体" w:cs="Times New Roman"/>
          <w:color w:val="auto"/>
          <w:sz w:val="24"/>
          <w:szCs w:val="24"/>
          <w:lang w:val="en-US" w:eastAsia="zh-CN" w:bidi="ar-SA"/>
        </w:rPr>
        <w:t>The analysis of the problem should cover:</w:t>
      </w:r>
    </w:p>
    <w:p>
      <w:r>
        <w:rPr>
          <w:rFonts w:ascii="Times New Roman" w:hAnsi="Times New Roman" w:eastAsia="SimSun;宋体" w:cs="Times New Roman"/>
          <w:color w:val="auto"/>
          <w:sz w:val="24"/>
          <w:szCs w:val="24"/>
          <w:lang w:val="en-US" w:eastAsia="zh-CN" w:bidi="ar-SA"/>
        </w:rPr>
        <w:t>* Detailed explanation of the laws or legal institutions you see as problematic.</w:t>
      </w:r>
    </w:p>
    <w:p>
      <w:r>
        <w:rPr>
          <w:rFonts w:ascii="Times New Roman" w:hAnsi="Times New Roman" w:eastAsia="SimSun;宋体" w:cs="Times New Roman"/>
          <w:color w:val="auto"/>
          <w:sz w:val="24"/>
          <w:szCs w:val="24"/>
          <w:lang w:val="en-US" w:eastAsia="zh-CN" w:bidi="ar-SA"/>
        </w:rPr>
        <w:t>* Detailed description of the problems, including (a) examples of the problems from your test suite &amp; (b) facts, studies, reports, and your own investigation related to the problems.</w:t>
      </w:r>
    </w:p>
    <w:p>
      <w:r>
        <w:rPr>
          <w:rFonts w:ascii="Times New Roman" w:hAnsi="Times New Roman" w:eastAsia="SimSun;宋体" w:cs="Times New Roman"/>
          <w:color w:val="auto"/>
          <w:sz w:val="24"/>
          <w:szCs w:val="24"/>
          <w:lang w:val="en-US" w:eastAsia="zh-CN" w:bidi="ar-SA"/>
        </w:rPr>
        <w:t>* Citations to scholars who have described the problem in the past.</w:t>
      </w:r>
    </w:p>
    <w:p>
      <w:r>
        <w:rPr>
          <w:rFonts w:ascii="Times New Roman" w:hAnsi="Times New Roman" w:eastAsia="SimSun;宋体" w:cs="Times New Roman"/>
          <w:color w:val="auto"/>
          <w:sz w:val="24"/>
          <w:szCs w:val="24"/>
          <w:lang w:val="en-US" w:eastAsia="zh-CN" w:bidi="ar-SA"/>
        </w:rPr>
        <w:t>* Citations to scholars who think there’s no problem or define the problem differently. (Give a counter-analysis).</w:t>
      </w:r>
    </w:p>
    <w:p>
      <w:r>
        <w:rPr/>
      </w:r>
    </w:p>
  </w:comment>
  <w:comment w:id="4" w:author="Gary" w:date="2007-12-11T08:46:00Z" w:initials="GC">
    <w:p>
      <w:r>
        <w:rPr/>
      </w:r>
    </w:p>
    <w:p>
      <w:r>
        <w:rPr>
          <w:rFonts w:ascii="Times New Roman" w:hAnsi="Times New Roman" w:eastAsia="SimSun;宋体" w:cs="Times New Roman"/>
          <w:color w:val="auto"/>
          <w:sz w:val="24"/>
          <w:szCs w:val="24"/>
          <w:lang w:val="en-US" w:eastAsia="zh-CN" w:bidi="ar-SA"/>
        </w:rPr>
        <w:t>You description of the proposed solution should cover:</w:t>
      </w:r>
    </w:p>
    <w:p>
      <w:r>
        <w:rPr/>
      </w:r>
    </w:p>
    <w:p>
      <w:r>
        <w:rPr>
          <w:rFonts w:ascii="Times New Roman" w:hAnsi="Times New Roman" w:eastAsia="SimSun;宋体" w:cs="Times New Roman"/>
          <w:color w:val="auto"/>
          <w:sz w:val="24"/>
          <w:szCs w:val="24"/>
          <w:lang w:val="en-US" w:eastAsia="zh-CN" w:bidi="ar-SA"/>
        </w:rPr>
        <w:t>* Very detailed description of the proposed solution.</w:t>
      </w:r>
    </w:p>
    <w:p>
      <w:r>
        <w:rPr/>
      </w:r>
    </w:p>
    <w:p>
      <w:r>
        <w:rPr>
          <w:rFonts w:ascii="Times New Roman" w:hAnsi="Times New Roman" w:eastAsia="SimSun;宋体" w:cs="Times New Roman"/>
          <w:color w:val="auto"/>
          <w:sz w:val="24"/>
          <w:szCs w:val="24"/>
          <w:lang w:val="en-US" w:eastAsia="zh-CN" w:bidi="ar-SA"/>
        </w:rPr>
        <w:t>* Explanation of why you chose that particular solution. For example, if your solution is that the Criminal Law should include a new crime, which has elements A, B, and C, then you need to explain why you chose those particular elements.</w:t>
      </w:r>
    </w:p>
    <w:p>
      <w:r>
        <w:rPr/>
      </w:r>
    </w:p>
    <w:p>
      <w:r>
        <w:rPr>
          <w:rFonts w:ascii="Times New Roman" w:hAnsi="Times New Roman" w:eastAsia="SimSun;宋体" w:cs="Times New Roman"/>
          <w:color w:val="auto"/>
          <w:sz w:val="24"/>
          <w:szCs w:val="24"/>
          <w:lang w:val="en-US" w:eastAsia="zh-CN" w:bidi="ar-SA"/>
        </w:rPr>
        <w:t>* Advantages and disadvantages of your proposed solution. Consider:</w:t>
      </w:r>
    </w:p>
    <w:p>
      <w:r>
        <w:rPr>
          <w:rFonts w:ascii="Times New Roman" w:hAnsi="Times New Roman" w:eastAsia="SimSun;宋体" w:cs="Times New Roman"/>
          <w:color w:val="auto"/>
          <w:sz w:val="24"/>
          <w:szCs w:val="24"/>
          <w:lang w:val="en-US" w:eastAsia="zh-CN" w:bidi="ar-SA"/>
        </w:rPr>
        <w:t>-- different argument types: precedent arguments, interpretive arguments, normative arguments, institutional arguments.</w:t>
      </w:r>
    </w:p>
    <w:p>
      <w:r>
        <w:rPr>
          <w:rFonts w:ascii="Times New Roman" w:hAnsi="Times New Roman" w:eastAsia="SimSun;宋体" w:cs="Times New Roman"/>
          <w:color w:val="auto"/>
          <w:sz w:val="24"/>
          <w:szCs w:val="24"/>
          <w:lang w:val="en-US" w:eastAsia="zh-CN" w:bidi="ar-SA"/>
        </w:rPr>
        <w:t>-- what various schools of jurisprudence (e.g., law and economics, feminist jurisprudence, etc.) would/have said about the solution.</w:t>
      </w:r>
    </w:p>
    <w:p>
      <w:r>
        <w:rPr>
          <w:rFonts w:ascii="Times New Roman" w:hAnsi="Times New Roman" w:eastAsia="SimSun;宋体" w:cs="Times New Roman"/>
          <w:color w:val="auto"/>
          <w:sz w:val="24"/>
          <w:szCs w:val="24"/>
          <w:lang w:val="en-US" w:eastAsia="zh-CN" w:bidi="ar-SA"/>
        </w:rPr>
        <w:t>--what would/have other fields, such as history, sociology, economics, political science, etc., said about the proposed solution: …</w:t>
      </w:r>
    </w:p>
    <w:p>
      <w:r>
        <w:rPr>
          <w:rFonts w:ascii="Times New Roman" w:hAnsi="Times New Roman" w:eastAsia="SimSun;宋体" w:cs="Times New Roman"/>
          <w:color w:val="auto"/>
          <w:sz w:val="24"/>
          <w:szCs w:val="24"/>
          <w:lang w:val="en-US" w:eastAsia="zh-CN" w:bidi="ar-SA"/>
        </w:rPr>
        <w:t>-- Confront—don’t ignore—adverse authorities and arguments.</w:t>
      </w:r>
    </w:p>
    <w:p>
      <w:r>
        <w:rPr/>
      </w:r>
    </w:p>
    <w:p>
      <w:r>
        <w:rPr>
          <w:rFonts w:ascii="Times New Roman" w:hAnsi="Times New Roman" w:eastAsia="SimSun;宋体" w:cs="Times New Roman"/>
          <w:color w:val="auto"/>
          <w:sz w:val="24"/>
          <w:szCs w:val="24"/>
          <w:lang w:val="en-US" w:eastAsia="zh-CN" w:bidi="ar-SA"/>
        </w:rPr>
        <w:t>* Compare your solution to other scholars’ solutions.</w:t>
      </w:r>
    </w:p>
    <w:p>
      <w:r>
        <w:rPr/>
      </w:r>
    </w:p>
    <w:p>
      <w:r>
        <w:rPr>
          <w:rFonts w:ascii="Times New Roman" w:hAnsi="Times New Roman" w:eastAsia="SimSun;宋体" w:cs="Times New Roman"/>
          <w:color w:val="auto"/>
          <w:sz w:val="24"/>
          <w:szCs w:val="24"/>
          <w:lang w:val="en-US" w:eastAsia="zh-CN" w:bidi="ar-SA"/>
        </w:rPr>
        <w:t>* Show how your proposed solution would apply to examples from your test suite: Does your solution reach the desired result? Or does it reach an unintended bas result? Or is it too vague to provide guidance to courts?</w:t>
      </w:r>
    </w:p>
    <w:p>
      <w:r>
        <w:rPr/>
      </w:r>
    </w:p>
    <w:p>
      <w:r>
        <w:rPr>
          <w:rFonts w:ascii="Times New Roman" w:hAnsi="Times New Roman" w:eastAsia="SimSun;宋体" w:cs="Times New Roman"/>
          <w:color w:val="auto"/>
          <w:sz w:val="24"/>
          <w:szCs w:val="24"/>
          <w:lang w:val="en-US" w:eastAsia="zh-CN" w:bidi="ar-SA"/>
        </w:rPr>
        <w:t>* Connect to parallel areas and the broader academic debate where useful:</w:t>
      </w:r>
    </w:p>
    <w:p>
      <w:r>
        <w:rPr>
          <w:rFonts w:ascii="Times New Roman" w:hAnsi="Times New Roman" w:eastAsia="SimSun;宋体" w:cs="Times New Roman"/>
          <w:color w:val="auto"/>
          <w:sz w:val="20"/>
          <w:szCs w:val="20"/>
          <w:lang w:val="en-US" w:eastAsia="zh-CN" w:bidi="ar-SA"/>
        </w:rPr>
        <w:t>(a) If broader academic (theoretical) debate sheds light on your claim, refer to it. (b) If your claim sheds light on broader academic debate, explain how. (c) If parallel areas shed light on your claim, explain how. (d) If your claim sheds light on parallel areas, explain how.)</w:t>
      </w:r>
    </w:p>
  </w:comment>
  <w:comment w:id="5" w:author="Gary" w:date="2007-12-08T13:16:00Z" w:initials="GC">
    <w:p>
      <w:r>
        <w:rPr>
          <w:rFonts w:ascii="Times New Roman" w:hAnsi="Times New Roman" w:eastAsia="SimSun;宋体" w:cs="Times New Roman"/>
          <w:color w:val="auto"/>
          <w:sz w:val="20"/>
          <w:szCs w:val="20"/>
          <w:lang w:val="en-US" w:eastAsia="zh-CN" w:bidi="ar-SA"/>
        </w:rPr>
        <w:t>Your conclusion:</w:t>
      </w:r>
    </w:p>
    <w:p>
      <w:r>
        <w:rPr>
          <w:rFonts w:ascii="Times New Roman" w:hAnsi="Times New Roman" w:eastAsia="SimSun;宋体" w:cs="Times New Roman"/>
          <w:color w:val="auto"/>
          <w:sz w:val="20"/>
          <w:szCs w:val="20"/>
          <w:lang w:val="en-US" w:eastAsia="zh-CN" w:bidi="ar-SA"/>
        </w:rPr>
        <w:t>* Should summarize your claim and important subsidiary conclusions.</w:t>
      </w:r>
    </w:p>
    <w:p>
      <w:r>
        <w:rPr>
          <w:rFonts w:ascii="Times New Roman" w:hAnsi="Times New Roman" w:eastAsia="SimSun;宋体" w:cs="Times New Roman"/>
          <w:color w:val="auto"/>
          <w:sz w:val="20"/>
          <w:szCs w:val="20"/>
          <w:lang w:val="en-US" w:eastAsia="zh-CN" w:bidi="ar-SA"/>
        </w:rPr>
        <w:t>* May suggest areas for further research.</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Wingdings 2">
    <w:charset w:val="02"/>
    <w:family w:val="roman"/>
    <w:pitch w:val="variable"/>
  </w:font>
  <w:font w:name="Courier New">
    <w:charset w:val="00"/>
    <w:family w:val="modern"/>
    <w:pitch w:val="default"/>
  </w:font>
  <w:font w:name="Marlett">
    <w:charset w:val="02"/>
    <w:family w:val="auto"/>
    <w:pitch w:val="variable"/>
  </w:font>
  <w:font w:name="Symbol">
    <w:charset w:val="01"/>
    <w:family w:val="roman"/>
    <w:pitch w:val="default"/>
  </w:font>
  <w:font w:name="Liberation Sans">
    <w:altName w:val="Arial"/>
    <w:charset w:val="01"/>
    <w:family w:val="swiss"/>
    <w:pitch w:val="variable"/>
  </w:font>
  <w:font w:name="Tahoma">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Footer"/>
      <w:ind w:left="2880" w:right="0" w:hanging="0"/>
      <w:rPr/>
    </w:pPr>
    <w:r>
      <w:rPr/>
    </w:r>
    <w:r>
      <w:pict>
        <v:rect fillcolor="#FFFFFF" style="position:absolute;width:36.05pt;height:27.6pt;margin-top:0.05pt;margin-left:214.85pt">
          <v:fill opacity="0f"/>
          <v:textbox>
            <w:txbxContent>
              <w:p>
                <w:pPr>
                  <w:pStyle w:val="Footer"/>
                  <w:ind w:left="0" w:right="0" w:hanging="0"/>
                  <w:rPr>
                    <w:rStyle w:val="PageNumber"/>
                  </w:rPr>
                </w:pPr>
                <w:r>
                  <w:rPr>
                    <w:rStyle w:val="PageNumber"/>
                  </w:rPr>
                  <w:fldChar w:fldCharType="begin"/>
                </w:r>
                <w:r>
                  <w:instrText> PAGE </w:instrText>
                </w:r>
                <w:r>
                  <w:fldChar w:fldCharType="separate"/>
                </w:r>
                <w:r>
                  <w:t>5</w:t>
                </w:r>
                <w:r>
                  <w:fldChar w:fldCharType="end"/>
                </w:r>
              </w:p>
              <w:p>
                <w:pPr>
                  <w:pStyle w:val="Footer"/>
                  <w:numPr>
                    <w:ilvl w:val="0"/>
                    <w:numId w:val="4"/>
                  </w:numPr>
                  <w:tabs>
                    <w:tab w:val="center" w:pos="4320" w:leader="none"/>
                    <w:tab w:val="right" w:pos="8640" w:leader="none"/>
                  </w:tabs>
                  <w:rPr/>
                </w:pPr>
                <w:r>
                  <w:rPr/>
                </w:r>
              </w:p>
            </w:txbxContent>
          </v:textbox>
          <w10:wrap type="square" side="largest"/>
        </v:rect>
      </w:pic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Footer"/>
      <w:numPr>
        <w:ilvl w:val="0"/>
        <w:numId w:val="4"/>
      </w:numPr>
      <w:tabs>
        <w:tab w:val="center" w:pos="4320" w:leader="none"/>
        <w:tab w:val="right" w:pos="8640" w:leader="none"/>
      </w:tabs>
      <w:rPr/>
    </w:pPr>
    <w:r>
      <w:rPr/>
    </w:r>
  </w:p>
</w:ftr>
</file>

<file path=word/footnotes.xml><?xml version="1.0" encoding="utf-8"?>
<w:footnotes xmlns:w="http://schemas.openxmlformats.org/wordprocessingml/2006/main" xmlns:r="http://schemas.openxmlformats.org/officeDocument/2006/relationships">
  <w:footnote w:id="0" w:type="separator">
    <w:p>
      <w:r>
        <w:separator/>
      </w:r>
    </w:p>
  </w:footnote>
  <w:footnote w:id="1" w:type="continuationSeparator">
    <w:p>
      <w:r>
        <w:continuationSeparator/>
      </w:r>
    </w:p>
  </w:footnote>
  <w:footnote w:id="2">
    <w:p>
      <w:pPr>
        <w:pStyle w:val="Footnote"/>
        <w:ind w:left="0" w:right="0" w:hanging="0"/>
        <w:rPr>
          <w:sz w:val="24"/>
          <w:szCs w:val="24"/>
        </w:rPr>
      </w:pPr>
      <w:r>
        <w:rPr>
          <w:rFonts w:eastAsia="Times New Roman"/>
          <w:sz w:val="24"/>
          <w:szCs w:val="24"/>
        </w:rPr>
        <w:footnoteRef/>
        <w:tab/>
        <w:t xml:space="preserve"> </w:t>
      </w:r>
      <w:r>
        <w:rPr>
          <w:i/>
          <w:sz w:val="24"/>
          <w:szCs w:val="24"/>
        </w:rPr>
        <w:t>E.g.</w:t>
      </w:r>
      <w:r>
        <w:rPr>
          <w:sz w:val="24"/>
          <w:szCs w:val="24"/>
        </w:rPr>
        <w:t xml:space="preserve">, </w:t>
      </w:r>
      <w:r>
        <w:rPr>
          <w:i/>
          <w:sz w:val="24"/>
          <w:szCs w:val="24"/>
        </w:rPr>
        <w:t>Klinge v. Ithaca Coll</w:t>
      </w:r>
      <w:r>
        <w:rPr>
          <w:sz w:val="24"/>
          <w:szCs w:val="24"/>
        </w:rPr>
        <w:t xml:space="preserve">., 663 N.Y.S.2d 735, 736-37 (App. Div. 1997) (due process and breach of contract theories); </w:t>
      </w:r>
      <w:r>
        <w:rPr>
          <w:i/>
          <w:sz w:val="24"/>
          <w:szCs w:val="24"/>
        </w:rPr>
        <w:t>Tedeschi v. Wagner Coll.</w:t>
      </w:r>
      <w:r>
        <w:rPr>
          <w:sz w:val="24"/>
          <w:szCs w:val="24"/>
        </w:rPr>
        <w:t xml:space="preserve">, 404 N.E.2d 1302, 1304 (NY. 1980) (defamation theory); </w:t>
      </w:r>
      <w:r>
        <w:rPr>
          <w:i/>
          <w:sz w:val="24"/>
          <w:szCs w:val="24"/>
        </w:rPr>
        <w:t>Greene v. Howard Univ</w:t>
      </w:r>
      <w:r>
        <w:rPr>
          <w:sz w:val="24"/>
          <w:szCs w:val="24"/>
        </w:rPr>
        <w:t>., 271 F. Supp. 609 (D.D.C. 1967) (due process, breach of contract, and defamation theories).</w:t>
      </w:r>
    </w:p>
  </w:footnote>
  <w:footnote w:id="3">
    <w:p>
      <w:pPr>
        <w:pStyle w:val="Footnote"/>
        <w:ind w:left="0" w:right="0" w:hanging="0"/>
        <w:rPr>
          <w:sz w:val="24"/>
          <w:szCs w:val="24"/>
        </w:rPr>
      </w:pPr>
      <w:r>
        <w:rPr>
          <w:rFonts w:eastAsia="Times New Roman"/>
          <w:sz w:val="24"/>
          <w:szCs w:val="24"/>
        </w:rPr>
        <w:footnoteRef/>
        <w:tab/>
        <w:t xml:space="preserve"> </w:t>
      </w:r>
      <w:r>
        <w:rPr>
          <w:i/>
          <w:sz w:val="24"/>
          <w:szCs w:val="24"/>
        </w:rPr>
        <w:t>Black’s Law Dictionary</w:t>
      </w:r>
      <w:r>
        <w:rPr>
          <w:sz w:val="24"/>
          <w:szCs w:val="24"/>
        </w:rPr>
        <w:t xml:space="preserve"> 1150 (6</w:t>
      </w:r>
      <w:r>
        <w:rPr>
          <w:sz w:val="24"/>
          <w:szCs w:val="24"/>
          <w:vertAlign w:val="superscript"/>
        </w:rPr>
        <w:t>th</w:t>
      </w:r>
      <w:r>
        <w:rPr>
          <w:sz w:val="24"/>
          <w:szCs w:val="24"/>
        </w:rPr>
        <w:t xml:space="preserve"> Ed. 1990); </w:t>
      </w:r>
      <w:r>
        <w:rPr>
          <w:i/>
          <w:sz w:val="24"/>
          <w:szCs w:val="24"/>
        </w:rPr>
        <w:t xml:space="preserve"> Webster’s Third New International Dictionary of the English Language </w:t>
      </w:r>
      <w:r>
        <w:rPr>
          <w:sz w:val="24"/>
          <w:szCs w:val="24"/>
        </w:rPr>
        <w:t>1728 (1961).</w:t>
      </w:r>
    </w:p>
  </w:footnote>
  <w:footnote w:id="4">
    <w:p>
      <w:pPr>
        <w:pStyle w:val="Footnote"/>
        <w:ind w:left="0" w:right="0" w:hanging="0"/>
        <w:rPr>
          <w:sz w:val="24"/>
          <w:szCs w:val="24"/>
        </w:rPr>
      </w:pPr>
      <w:r>
        <w:rPr>
          <w:rFonts w:eastAsia="Times New Roman"/>
          <w:sz w:val="24"/>
          <w:szCs w:val="24"/>
        </w:rPr>
        <w:footnoteRef/>
        <w:tab/>
        <w:t xml:space="preserve"> </w:t>
      </w:r>
      <w:r>
        <w:rPr>
          <w:sz w:val="24"/>
          <w:szCs w:val="24"/>
        </w:rPr>
        <w:t xml:space="preserve">Debbie Papay Carder, </w:t>
      </w:r>
      <w:r>
        <w:rPr>
          <w:i/>
          <w:sz w:val="24"/>
          <w:szCs w:val="24"/>
        </w:rPr>
        <w:t>Plagiarism in Legal Scholarship</w:t>
      </w:r>
      <w:r>
        <w:rPr>
          <w:sz w:val="24"/>
          <w:szCs w:val="24"/>
        </w:rPr>
        <w:t>, 15 U. Tol. L. Rev. 233 (1983).</w:t>
      </w:r>
    </w:p>
  </w:footnote>
  <w:footnote w:id="5">
    <w:p>
      <w:pPr>
        <w:pStyle w:val="Footnote"/>
        <w:ind w:left="0" w:right="0" w:hanging="0"/>
        <w:rPr>
          <w:sz w:val="24"/>
          <w:szCs w:val="24"/>
        </w:rPr>
      </w:pPr>
      <w:r>
        <w:rPr>
          <w:rStyle w:val="FootnoteCharacters"/>
          <w:rFonts w:eastAsia="Times New Roman"/>
          <w:sz w:val="24"/>
          <w:szCs w:val="24"/>
        </w:rPr>
        <w:footnoteRef/>
        <w:tab/>
        <w:t xml:space="preserve"> </w:t>
      </w:r>
      <w:r>
        <w:rPr>
          <w:i/>
          <w:sz w:val="24"/>
          <w:szCs w:val="24"/>
        </w:rPr>
        <w:t>See</w:t>
      </w:r>
      <w:r>
        <w:rPr>
          <w:sz w:val="24"/>
          <w:szCs w:val="24"/>
        </w:rPr>
        <w:t xml:space="preserve"> 17 U.S.C. § 101 (2001).</w:t>
      </w:r>
    </w:p>
  </w:footnote>
  <w:footnote w:id="6">
    <w:p>
      <w:pPr>
        <w:pStyle w:val="Footnote"/>
        <w:ind w:left="0" w:right="0" w:hanging="0"/>
        <w:rPr>
          <w:sz w:val="24"/>
          <w:szCs w:val="24"/>
        </w:rPr>
      </w:pPr>
      <w:r>
        <w:rPr>
          <w:rFonts w:eastAsia="Times New Roman"/>
          <w:sz w:val="24"/>
          <w:szCs w:val="24"/>
        </w:rPr>
        <w:footnoteRef/>
        <w:tab/>
        <w:t xml:space="preserve"> </w:t>
      </w:r>
      <w:r>
        <w:rPr>
          <w:i/>
          <w:sz w:val="24"/>
          <w:szCs w:val="24"/>
        </w:rPr>
        <w:t>E.g.</w:t>
      </w:r>
      <w:r>
        <w:rPr>
          <w:sz w:val="24"/>
          <w:szCs w:val="24"/>
        </w:rPr>
        <w:t xml:space="preserve">, Timothy Noah, </w:t>
      </w:r>
      <w:r>
        <w:rPr>
          <w:i/>
          <w:sz w:val="24"/>
          <w:szCs w:val="24"/>
        </w:rPr>
        <w:t>Doris Kearns Goodwin, Liar</w:t>
      </w:r>
      <w:r>
        <w:rPr>
          <w:sz w:val="24"/>
          <w:szCs w:val="24"/>
        </w:rPr>
        <w:t>, Slate, Jan. 22, 2002, at http://slate.msn.com/2061056 (last accessed Apr. 2, 2004).</w:t>
      </w:r>
    </w:p>
  </w:footnote>
  <w:footnote w:id="7">
    <w:p>
      <w:pPr>
        <w:pStyle w:val="Footnote"/>
        <w:ind w:left="0" w:right="0" w:hanging="0"/>
        <w:rPr>
          <w:sz w:val="24"/>
          <w:szCs w:val="24"/>
        </w:rPr>
      </w:pPr>
      <w:r>
        <w:rPr>
          <w:rFonts w:eastAsia="Times New Roman"/>
          <w:sz w:val="24"/>
          <w:szCs w:val="24"/>
        </w:rPr>
        <w:footnoteRef/>
        <w:tab/>
        <w:t xml:space="preserve"> </w:t>
      </w:r>
      <w:r>
        <w:rPr>
          <w:i/>
          <w:sz w:val="24"/>
          <w:szCs w:val="24"/>
        </w:rPr>
        <w:t>See</w:t>
      </w:r>
      <w:r>
        <w:rPr>
          <w:sz w:val="24"/>
          <w:szCs w:val="24"/>
        </w:rPr>
        <w:t xml:space="preserve">, </w:t>
      </w:r>
      <w:r>
        <w:rPr>
          <w:i/>
          <w:sz w:val="24"/>
          <w:szCs w:val="24"/>
        </w:rPr>
        <w:t>e.g.</w:t>
      </w:r>
      <w:r>
        <w:rPr>
          <w:sz w:val="24"/>
          <w:szCs w:val="24"/>
        </w:rPr>
        <w:t xml:space="preserve">, Yale Univ., </w:t>
      </w:r>
      <w:r>
        <w:rPr>
          <w:i/>
          <w:sz w:val="24"/>
          <w:szCs w:val="24"/>
        </w:rPr>
        <w:t>Faculty Policies &amp; Procedures Handbook</w:t>
      </w:r>
      <w:r>
        <w:rPr>
          <w:sz w:val="24"/>
          <w:szCs w:val="24"/>
        </w:rPr>
        <w:t xml:space="preserve"> 126-128 (2002).</w:t>
      </w:r>
    </w:p>
  </w:footnote>
  <w:footnote w:id="8">
    <w:p>
      <w:pPr>
        <w:pStyle w:val="Footnote"/>
        <w:ind w:left="0" w:right="0" w:hanging="0"/>
        <w:rPr>
          <w:sz w:val="24"/>
          <w:szCs w:val="24"/>
        </w:rPr>
      </w:pPr>
      <w:r>
        <w:rPr>
          <w:rFonts w:eastAsia="Times New Roman"/>
          <w:sz w:val="24"/>
          <w:szCs w:val="24"/>
        </w:rPr>
        <w:footnoteRef/>
        <w:tab/>
        <w:t xml:space="preserve"> </w:t>
      </w:r>
      <w:r>
        <w:rPr>
          <w:i/>
          <w:sz w:val="24"/>
          <w:szCs w:val="24"/>
        </w:rPr>
        <w:t>E.g.</w:t>
      </w:r>
      <w:r>
        <w:rPr>
          <w:sz w:val="24"/>
          <w:szCs w:val="24"/>
        </w:rPr>
        <w:t xml:space="preserve">, </w:t>
      </w:r>
      <w:r>
        <w:rPr>
          <w:i/>
          <w:sz w:val="24"/>
          <w:szCs w:val="24"/>
        </w:rPr>
        <w:t>Tacka v. Georgetown Univ.</w:t>
      </w:r>
      <w:r>
        <w:rPr>
          <w:sz w:val="24"/>
          <w:szCs w:val="24"/>
        </w:rPr>
        <w:t>, 193 F. Supp. 2d 43 (D.D.C. 2001).</w:t>
      </w:r>
    </w:p>
  </w:footnote>
  <w:footnote w:id="9">
    <w:p>
      <w:pPr>
        <w:pStyle w:val="Footnote"/>
        <w:ind w:left="0" w:right="0" w:hanging="0"/>
        <w:rPr>
          <w:sz w:val="24"/>
          <w:szCs w:val="24"/>
        </w:rPr>
      </w:pPr>
      <w:r>
        <w:rPr>
          <w:rFonts w:eastAsia="Times New Roman"/>
          <w:sz w:val="24"/>
          <w:szCs w:val="24"/>
        </w:rPr>
        <w:footnoteRef/>
        <w:tab/>
        <w:t xml:space="preserve"> </w:t>
      </w:r>
      <w:r>
        <w:rPr>
          <w:i/>
          <w:sz w:val="24"/>
          <w:szCs w:val="24"/>
        </w:rPr>
        <w:t>Abel v. Cain</w:t>
      </w:r>
      <w:r>
        <w:rPr>
          <w:sz w:val="24"/>
          <w:szCs w:val="24"/>
        </w:rPr>
        <w:t>, 232 U.S. 501, 505 (U.S. 1998).</w:t>
      </w:r>
    </w:p>
  </w:footnote>
  <w:footnote w:id="10">
    <w:p>
      <w:pPr>
        <w:pStyle w:val="Footnote"/>
        <w:ind w:left="0" w:right="0" w:hanging="0"/>
        <w:rPr>
          <w:sz w:val="24"/>
          <w:szCs w:val="24"/>
        </w:rPr>
      </w:pPr>
      <w:r>
        <w:rPr>
          <w:rFonts w:eastAsia="Times New Roman"/>
          <w:sz w:val="24"/>
          <w:szCs w:val="24"/>
        </w:rPr>
        <w:footnoteRef/>
        <w:tab/>
        <w:t xml:space="preserve"> </w:t>
      </w:r>
      <w:r>
        <w:rPr>
          <w:i/>
          <w:sz w:val="24"/>
          <w:szCs w:val="24"/>
        </w:rPr>
        <w:t>Klinge v. Ithaca Coll.</w:t>
      </w:r>
      <w:r>
        <w:rPr>
          <w:sz w:val="24"/>
          <w:szCs w:val="24"/>
        </w:rPr>
        <w:t xml:space="preserve">, 663 N.Y.S.2d 735, 736-37 (App. Div. 1997); </w:t>
      </w:r>
      <w:r>
        <w:rPr>
          <w:i/>
          <w:sz w:val="24"/>
          <w:szCs w:val="24"/>
        </w:rPr>
        <w:t>Tedeschi v. Wagner College</w:t>
      </w:r>
      <w:r>
        <w:rPr>
          <w:sz w:val="24"/>
          <w:szCs w:val="24"/>
        </w:rPr>
        <w:t>, 404 N.E.2d 1302, 1304 (NY. 1980).</w:t>
      </w:r>
    </w:p>
  </w:footnote>
  <w:footnote w:id="11">
    <w:p>
      <w:pPr>
        <w:pStyle w:val="Footnote"/>
        <w:ind w:left="0" w:right="0" w:hanging="0"/>
        <w:rPr>
          <w:sz w:val="24"/>
          <w:szCs w:val="24"/>
        </w:rPr>
      </w:pPr>
      <w:r>
        <w:rPr>
          <w:rFonts w:eastAsia="Times New Roman"/>
          <w:sz w:val="24"/>
          <w:szCs w:val="24"/>
        </w:rPr>
        <w:footnoteRef/>
        <w:tab/>
        <w:t xml:space="preserve"> </w:t>
      </w:r>
      <w:r>
        <w:rPr>
          <w:i/>
          <w:sz w:val="24"/>
          <w:szCs w:val="24"/>
        </w:rPr>
        <w:t>Harvey v. Palmer College of Chiropractic</w:t>
      </w:r>
      <w:r>
        <w:rPr>
          <w:sz w:val="24"/>
          <w:szCs w:val="24"/>
        </w:rPr>
        <w:t>, 363 N.W.2d 443, 444 (Iowa Ct. App. 1984).</w:t>
      </w:r>
    </w:p>
  </w:footnote>
  <w:footnote w:id="12">
    <w:p>
      <w:pPr>
        <w:pStyle w:val="Footnote"/>
        <w:ind w:left="0" w:right="0" w:hanging="0"/>
        <w:rPr>
          <w:sz w:val="24"/>
          <w:szCs w:val="24"/>
        </w:rPr>
      </w:pPr>
      <w:r>
        <w:rPr>
          <w:rFonts w:eastAsia="Times New Roman"/>
          <w:sz w:val="24"/>
          <w:szCs w:val="24"/>
        </w:rPr>
        <w:footnoteRef/>
        <w:tab/>
        <w:t xml:space="preserve"> </w:t>
      </w:r>
      <w:r>
        <w:rPr>
          <w:i/>
          <w:sz w:val="24"/>
          <w:szCs w:val="24"/>
        </w:rPr>
        <w:t>Greene v. Howard Univ.</w:t>
      </w:r>
      <w:r>
        <w:rPr>
          <w:sz w:val="24"/>
          <w:szCs w:val="24"/>
        </w:rPr>
        <w:t>, 271 F. Supp. 609 (D.D.C. 1967).</w:t>
      </w:r>
    </w:p>
  </w:footnote>
  <w:footnote w:id="13">
    <w:p>
      <w:pPr>
        <w:pStyle w:val="Footnote"/>
        <w:ind w:left="0" w:right="0" w:hanging="0"/>
        <w:rPr>
          <w:sz w:val="24"/>
          <w:szCs w:val="24"/>
        </w:rPr>
      </w:pPr>
      <w:r>
        <w:rPr>
          <w:rFonts w:eastAsia="Times New Roman"/>
          <w:sz w:val="24"/>
          <w:szCs w:val="24"/>
        </w:rPr>
        <w:footnoteRef/>
        <w:tab/>
        <w:t xml:space="preserve"> </w:t>
      </w:r>
      <w:r>
        <w:rPr>
          <w:sz w:val="24"/>
          <w:szCs w:val="24"/>
        </w:rPr>
        <w:t xml:space="preserve">Scott R. Sinson, </w:t>
      </w:r>
      <w:r>
        <w:rPr>
          <w:i/>
          <w:sz w:val="24"/>
          <w:szCs w:val="24"/>
        </w:rPr>
        <w:t>Judicial Intervention of Private University Expulsions: Traditional Remedies and a Solution Sounding in Tort</w:t>
      </w:r>
      <w:r>
        <w:rPr>
          <w:sz w:val="24"/>
          <w:szCs w:val="24"/>
        </w:rPr>
        <w:t>, 46 Drake L. Rev. 195, 196 (1997).</w:t>
      </w:r>
    </w:p>
  </w:footnote>
  <w:footnote w:id="14">
    <w:p>
      <w:pPr>
        <w:pStyle w:val="Footnote"/>
        <w:ind w:left="0" w:right="0" w:hanging="0"/>
        <w:rPr>
          <w:sz w:val="24"/>
          <w:szCs w:val="24"/>
        </w:rPr>
      </w:pPr>
      <w:r>
        <w:rPr>
          <w:rFonts w:eastAsia="Times New Roman"/>
          <w:sz w:val="24"/>
          <w:szCs w:val="24"/>
        </w:rPr>
        <w:footnoteRef/>
        <w:tab/>
        <w:t xml:space="preserve"> </w:t>
      </w:r>
      <w:r>
        <w:rPr>
          <w:sz w:val="24"/>
          <w:szCs w:val="24"/>
        </w:rPr>
        <w:t xml:space="preserve">Scott R. Sinson, </w:t>
      </w:r>
      <w:r>
        <w:rPr>
          <w:i/>
          <w:sz w:val="24"/>
          <w:szCs w:val="24"/>
        </w:rPr>
        <w:t>Judicial Intervention of Private University Expulsions: Traditional Remedies and a Solution Sounding in Tort</w:t>
      </w:r>
      <w:r>
        <w:rPr>
          <w:sz w:val="24"/>
          <w:szCs w:val="24"/>
        </w:rPr>
        <w:t>, 46 Drake L. Rev. 195, 199-201 (1997).</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upperRoman"/>
      <w:lvlText w:val="%1."/>
      <w:lvlJc w:val="left"/>
      <w:pPr>
        <w:tabs>
          <w:tab w:val="num" w:pos="720"/>
        </w:tabs>
        <w:ind w:left="720" w:hanging="720"/>
      </w:pPr>
      <w:rPr>
        <w:sz w:val="24"/>
        <w:i w:val="false"/>
        <w:b w:val="false"/>
        <w:szCs w:val="24"/>
      </w:rPr>
    </w:lvl>
    <w:lvl w:ilvl="1">
      <w:start w:val="1"/>
      <w:numFmt w:val="upperLetter"/>
      <w:lvlText w:val="%2."/>
      <w:lvlJc w:val="left"/>
      <w:pPr>
        <w:tabs>
          <w:tab w:val="num" w:pos="720"/>
        </w:tabs>
        <w:ind w:left="1440" w:hanging="720"/>
      </w:pPr>
      <w:rPr>
        <w:sz w:val="24"/>
        <w:i w:val="false"/>
        <w:b w:val="false"/>
        <w:szCs w:val="24"/>
      </w:rPr>
    </w:lvl>
    <w:lvl w:ilvl="2">
      <w:start w:val="1"/>
      <w:numFmt w:val="decimal"/>
      <w:lvlText w:val="%3."/>
      <w:lvlJc w:val="left"/>
      <w:pPr>
        <w:ind w:left="2160" w:hanging="720"/>
      </w:pPr>
      <w:rPr>
        <w:sz w:val="24"/>
        <w:i w:val="false"/>
        <w:b w:val="false"/>
        <w:szCs w:val="24"/>
      </w:rPr>
    </w:lvl>
    <w:lvl w:ilvl="3">
      <w:start w:val="1"/>
      <w:numFmt w:val="lowerLetter"/>
      <w:lvlText w:val="%4)"/>
      <w:lvlJc w:val="left"/>
      <w:pPr>
        <w:tabs>
          <w:tab w:val="num" w:pos="1440"/>
        </w:tabs>
        <w:ind w:left="2880" w:hanging="720"/>
      </w:pPr>
      <w:rPr/>
    </w:lvl>
    <w:lvl w:ilvl="4">
      <w:start w:val="1"/>
      <w:numFmt w:val="decimal"/>
      <w:lvlText w:val="(%5)"/>
      <w:lvlJc w:val="left"/>
      <w:pPr>
        <w:tabs>
          <w:tab w:val="num" w:pos="2880"/>
        </w:tabs>
        <w:ind w:left="3600" w:hanging="720"/>
      </w:pPr>
      <w:rPr>
        <w:sz w:val="24"/>
        <w:i w:val="false"/>
        <w:b w:val="false"/>
        <w:szCs w:val="24"/>
      </w:rPr>
    </w:lvl>
    <w:lvl w:ilvl="5">
      <w:start w:val="1"/>
      <w:numFmt w:val="lowerLetter"/>
      <w:lvlText w:val="(%6)"/>
      <w:lvlJc w:val="left"/>
      <w:pPr>
        <w:tabs>
          <w:tab w:val="num" w:pos="3960"/>
        </w:tabs>
        <w:ind w:left="3600" w:hanging="0"/>
      </w:pPr>
      <w:rPr/>
    </w:lvl>
    <w:lvl w:ilvl="6">
      <w:start w:val="1"/>
      <w:numFmt w:val="lowerRoman"/>
      <w:lvlText w:val="(%7)"/>
      <w:lvlJc w:val="left"/>
      <w:pPr>
        <w:tabs>
          <w:tab w:val="num" w:pos="4680"/>
        </w:tabs>
        <w:ind w:left="4320" w:hanging="0"/>
      </w:pPr>
      <w:rPr/>
    </w:lvl>
    <w:lvl w:ilvl="7">
      <w:start w:val="1"/>
      <w:numFmt w:val="lowerLetter"/>
      <w:lvlText w:val="(%8)"/>
      <w:lvlJc w:val="left"/>
      <w:pPr>
        <w:tabs>
          <w:tab w:val="num" w:pos="5400"/>
        </w:tabs>
        <w:ind w:left="5040" w:hanging="0"/>
      </w:pPr>
      <w:rPr/>
    </w:lvl>
    <w:lvl w:ilvl="8">
      <w:start w:val="1"/>
      <w:numFmt w:val="lowerRoman"/>
      <w:lvlText w:val="(%9)"/>
      <w:lvlJc w:val="left"/>
      <w:pPr>
        <w:tabs>
          <w:tab w:val="num" w:pos="6120"/>
        </w:tabs>
        <w:ind w:left="5760" w:hanging="0"/>
      </w:pPr>
      <w:rPr/>
    </w:lvl>
  </w:abstractNum>
  <w:abstractNum w:abstractNumId="2">
    <w:lvl w:ilvl="0">
      <w:start w:val="1"/>
      <w:numFmt w:val="bullet"/>
      <w:lvlText w:val=""/>
      <w:lvlJc w:val="left"/>
      <w:pPr>
        <w:tabs>
          <w:tab w:val="num" w:pos="360"/>
        </w:tabs>
        <w:ind w:left="360" w:hanging="360"/>
      </w:pPr>
      <w:rPr>
        <w:rFonts w:ascii="Wingdings 2" w:hAnsi="Wingdings 2" w:cs="Wingdings 2" w:hint="default"/>
      </w:rPr>
    </w:lvl>
  </w:abstractNum>
  <w:abstractNum w:abstractNumId="3">
    <w:lvl w:ilvl="0">
      <w:start w:val="1"/>
      <w:numFmt w:val="upperRoman"/>
      <w:lvlText w:val="%1."/>
      <w:lvlJc w:val="left"/>
      <w:pPr>
        <w:tabs>
          <w:tab w:val="num" w:pos="720"/>
        </w:tabs>
        <w:ind w:left="720" w:hanging="720"/>
      </w:pPr>
      <w:rPr>
        <w:sz w:val="24"/>
        <w:i w:val="false"/>
        <w:b w:val="false"/>
        <w:szCs w:val="24"/>
      </w:rPr>
    </w:lvl>
    <w:lvl w:ilvl="1">
      <w:start w:val="1"/>
      <w:numFmt w:val="upperLetter"/>
      <w:lvlText w:val="%2."/>
      <w:lvlJc w:val="left"/>
      <w:pPr>
        <w:tabs>
          <w:tab w:val="num" w:pos="720"/>
        </w:tabs>
        <w:ind w:left="1440" w:hanging="720"/>
      </w:pPr>
      <w:rPr>
        <w:sz w:val="24"/>
        <w:i w:val="false"/>
        <w:b w:val="false"/>
        <w:szCs w:val="24"/>
      </w:rPr>
    </w:lvl>
    <w:lvl w:ilvl="2">
      <w:start w:val="1"/>
      <w:numFmt w:val="decimal"/>
      <w:lvlText w:val="%3."/>
      <w:lvlJc w:val="left"/>
      <w:pPr>
        <w:ind w:left="2160" w:hanging="720"/>
      </w:pPr>
      <w:rPr>
        <w:sz w:val="24"/>
        <w:i w:val="false"/>
        <w:b w:val="false"/>
        <w:szCs w:val="24"/>
      </w:rPr>
    </w:lvl>
    <w:lvl w:ilvl="3">
      <w:start w:val="1"/>
      <w:numFmt w:val="lowerLetter"/>
      <w:lvlText w:val="%4)"/>
      <w:lvlJc w:val="left"/>
      <w:pPr>
        <w:tabs>
          <w:tab w:val="num" w:pos="1440"/>
        </w:tabs>
        <w:ind w:left="2880" w:hanging="720"/>
      </w:pPr>
      <w:rPr/>
    </w:lvl>
    <w:lvl w:ilvl="4">
      <w:start w:val="1"/>
      <w:numFmt w:val="decimal"/>
      <w:lvlText w:val="(%5)"/>
      <w:lvlJc w:val="left"/>
      <w:pPr>
        <w:tabs>
          <w:tab w:val="num" w:pos="2880"/>
        </w:tabs>
        <w:ind w:left="3600" w:hanging="720"/>
      </w:pPr>
      <w:rPr>
        <w:sz w:val="24"/>
        <w:i w:val="false"/>
        <w:b w:val="false"/>
        <w:szCs w:val="24"/>
      </w:rPr>
    </w:lvl>
    <w:lvl w:ilvl="5">
      <w:start w:val="1"/>
      <w:numFmt w:val="lowerLetter"/>
      <w:lvlText w:val="(%6)"/>
      <w:lvlJc w:val="left"/>
      <w:pPr>
        <w:tabs>
          <w:tab w:val="num" w:pos="3960"/>
        </w:tabs>
        <w:ind w:left="3600" w:hanging="0"/>
      </w:pPr>
      <w:rPr/>
    </w:lvl>
    <w:lvl w:ilvl="6">
      <w:start w:val="1"/>
      <w:numFmt w:val="lowerRoman"/>
      <w:lvlText w:val="(%7)"/>
      <w:lvlJc w:val="left"/>
      <w:pPr>
        <w:tabs>
          <w:tab w:val="num" w:pos="4680"/>
        </w:tabs>
        <w:ind w:left="4320" w:hanging="0"/>
      </w:pPr>
      <w:rPr/>
    </w:lvl>
    <w:lvl w:ilvl="7">
      <w:start w:val="1"/>
      <w:numFmt w:val="lowerLetter"/>
      <w:lvlText w:val="(%8)"/>
      <w:lvlJc w:val="left"/>
      <w:pPr>
        <w:tabs>
          <w:tab w:val="num" w:pos="5400"/>
        </w:tabs>
        <w:ind w:left="5040" w:hanging="0"/>
      </w:pPr>
      <w:rPr/>
    </w:lvl>
    <w:lvl w:ilvl="8">
      <w:start w:val="1"/>
      <w:numFmt w:val="lowerRoman"/>
      <w:lvlText w:val="(%9)"/>
      <w:lvlJc w:val="left"/>
      <w:pPr>
        <w:tabs>
          <w:tab w:val="num" w:pos="6120"/>
        </w:tabs>
        <w:ind w:left="5760" w:hanging="0"/>
      </w:pPr>
      <w:rPr/>
    </w:lvl>
  </w:abstractNum>
  <w:abstractNum w:abstractNumId="4">
    <w:lvl w:ilvl="0">
      <w:start w:val="1"/>
      <w:numFmt w:val="upperRoman"/>
      <w:lvlText w:val="%1."/>
      <w:lvlJc w:val="left"/>
      <w:pPr>
        <w:tabs>
          <w:tab w:val="num" w:pos="720"/>
        </w:tabs>
        <w:ind w:left="720" w:hanging="720"/>
      </w:pPr>
      <w:rPr>
        <w:sz w:val="24"/>
        <w:i w:val="false"/>
        <w:b w:val="false"/>
        <w:szCs w:val="24"/>
      </w:rPr>
    </w:lvl>
    <w:lvl w:ilvl="1">
      <w:start w:val="1"/>
      <w:numFmt w:val="upperLetter"/>
      <w:lvlText w:val="%2."/>
      <w:lvlJc w:val="left"/>
      <w:pPr>
        <w:tabs>
          <w:tab w:val="num" w:pos="720"/>
        </w:tabs>
        <w:ind w:left="1440" w:hanging="720"/>
      </w:pPr>
      <w:rPr>
        <w:sz w:val="24"/>
        <w:i w:val="false"/>
        <w:b w:val="false"/>
        <w:szCs w:val="24"/>
      </w:rPr>
    </w:lvl>
    <w:lvl w:ilvl="2">
      <w:start w:val="1"/>
      <w:numFmt w:val="decimal"/>
      <w:lvlText w:val="%3."/>
      <w:lvlJc w:val="left"/>
      <w:pPr>
        <w:ind w:left="2160" w:hanging="720"/>
      </w:pPr>
      <w:rPr>
        <w:sz w:val="24"/>
        <w:i w:val="false"/>
        <w:b w:val="false"/>
        <w:szCs w:val="24"/>
      </w:rPr>
    </w:lvl>
    <w:lvl w:ilvl="3">
      <w:start w:val="1"/>
      <w:numFmt w:val="lowerLetter"/>
      <w:lvlText w:val="%4)"/>
      <w:lvlJc w:val="left"/>
      <w:pPr>
        <w:tabs>
          <w:tab w:val="num" w:pos="1440"/>
        </w:tabs>
        <w:ind w:left="2880" w:hanging="720"/>
      </w:pPr>
      <w:rPr/>
    </w:lvl>
    <w:lvl w:ilvl="4">
      <w:start w:val="1"/>
      <w:numFmt w:val="decimal"/>
      <w:lvlText w:val="(%5)"/>
      <w:lvlJc w:val="left"/>
      <w:pPr>
        <w:tabs>
          <w:tab w:val="num" w:pos="2880"/>
        </w:tabs>
        <w:ind w:left="3600" w:hanging="720"/>
      </w:pPr>
      <w:rPr>
        <w:sz w:val="24"/>
        <w:i w:val="false"/>
        <w:b w:val="false"/>
        <w:szCs w:val="24"/>
      </w:rPr>
    </w:lvl>
    <w:lvl w:ilvl="5">
      <w:start w:val="1"/>
      <w:numFmt w:val="lowerLetter"/>
      <w:lvlText w:val="(%6)"/>
      <w:lvlJc w:val="left"/>
      <w:pPr>
        <w:tabs>
          <w:tab w:val="num" w:pos="3960"/>
        </w:tabs>
        <w:ind w:left="3600" w:hanging="0"/>
      </w:pPr>
      <w:rPr/>
    </w:lvl>
    <w:lvl w:ilvl="6">
      <w:start w:val="1"/>
      <w:numFmt w:val="lowerRoman"/>
      <w:lvlText w:val="(%7)"/>
      <w:lvlJc w:val="left"/>
      <w:pPr>
        <w:tabs>
          <w:tab w:val="num" w:pos="4680"/>
        </w:tabs>
        <w:ind w:left="4320" w:hanging="0"/>
      </w:pPr>
      <w:rPr/>
    </w:lvl>
    <w:lvl w:ilvl="7">
      <w:start w:val="1"/>
      <w:numFmt w:val="lowerLetter"/>
      <w:lvlText w:val="(%8)"/>
      <w:lvlJc w:val="left"/>
      <w:pPr>
        <w:tabs>
          <w:tab w:val="num" w:pos="5400"/>
        </w:tabs>
        <w:ind w:left="5040" w:hanging="0"/>
      </w:pPr>
      <w:rPr/>
    </w:lvl>
    <w:lvl w:ilvl="8">
      <w:start w:val="1"/>
      <w:numFmt w:val="lowerRoman"/>
      <w:lvlText w:val="(%9)"/>
      <w:lvlJc w:val="left"/>
      <w:pPr>
        <w:tabs>
          <w:tab w:val="num" w:pos="6120"/>
        </w:tabs>
        <w:ind w:left="5760" w:hanging="0"/>
      </w:pPr>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58"/>
  <w:defaultTabStop w:val="720"/>
  <w:footnotePr>
    <w:numFmt w:val="decimal"/>
    <w:footnote w:id="0"/>
    <w:footnote w:id="1"/>
  </w:footnotePr>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numPr>
        <w:ilvl w:val="0"/>
        <w:numId w:val="3"/>
      </w:numPr>
      <w:suppressAutoHyphens w:val="true"/>
      <w:bidi w:val="0"/>
    </w:pPr>
    <w:rPr>
      <w:rFonts w:ascii="Times New Roman" w:hAnsi="Times New Roman" w:eastAsia="SimSun;宋体" w:cs="Times New Roman"/>
      <w:color w:val="auto"/>
      <w:sz w:val="24"/>
      <w:szCs w:val="24"/>
      <w:lang w:val="en-US" w:eastAsia="zh-CN" w:bidi="ar-SA"/>
    </w:rPr>
  </w:style>
  <w:style w:type="paragraph" w:styleId="Heading1">
    <w:name w:val="Heading 1"/>
    <w:basedOn w:val="Normal"/>
    <w:next w:val="Normal"/>
    <w:pPr>
      <w:keepNext/>
      <w:spacing w:before="240" w:after="60"/>
    </w:pPr>
    <w:rPr>
      <w:rFonts w:ascii="Arial" w:hAnsi="Arial" w:cs="Arial"/>
      <w:b/>
      <w:bCs/>
      <w:sz w:val="32"/>
      <w:szCs w:val="32"/>
    </w:rPr>
  </w:style>
  <w:style w:type="paragraph" w:styleId="Heading2">
    <w:name w:val="Heading 2"/>
    <w:basedOn w:val="Normal"/>
    <w:next w:val="Normal"/>
    <w:pPr>
      <w:keepNext/>
      <w:spacing w:before="240" w:after="60"/>
    </w:pPr>
    <w:rPr>
      <w:rFonts w:ascii="Arial" w:hAnsi="Arial" w:cs="Arial"/>
      <w:b/>
      <w:bCs/>
      <w:i/>
      <w:iCs/>
      <w:sz w:val="28"/>
      <w:szCs w:val="28"/>
    </w:rPr>
  </w:style>
  <w:style w:type="paragraph" w:styleId="Heading3">
    <w:name w:val="Heading 3"/>
    <w:basedOn w:val="Normal"/>
    <w:next w:val="Normal"/>
    <w:pPr>
      <w:keepNext/>
      <w:spacing w:before="240" w:after="60"/>
    </w:pPr>
    <w:rPr>
      <w:rFonts w:ascii="Arial" w:hAnsi="Arial" w:cs="Arial"/>
      <w:b/>
      <w:bCs/>
      <w:sz w:val="26"/>
      <w:szCs w:val="26"/>
    </w:rPr>
  </w:style>
  <w:style w:type="paragraph" w:styleId="Heading4">
    <w:name w:val="Heading 4"/>
    <w:basedOn w:val="Normal"/>
    <w:next w:val="Normal"/>
    <w:pPr>
      <w:keepNext/>
      <w:spacing w:before="240" w:after="60"/>
    </w:pPr>
    <w:rPr>
      <w:b/>
      <w:bCs/>
      <w:sz w:val="28"/>
      <w:szCs w:val="28"/>
    </w:rPr>
  </w:style>
  <w:style w:type="paragraph" w:styleId="Heading5">
    <w:name w:val="Heading 5"/>
    <w:basedOn w:val="Normal"/>
    <w:next w:val="Normal"/>
    <w:pPr>
      <w:spacing w:before="240" w:after="60"/>
    </w:pPr>
    <w:rPr>
      <w:b/>
      <w:bCs/>
      <w:i/>
      <w:iCs/>
      <w:sz w:val="26"/>
      <w:szCs w:val="26"/>
    </w:rPr>
  </w:style>
  <w:style w:type="paragraph" w:styleId="Heading6">
    <w:name w:val="Heading 6"/>
    <w:basedOn w:val="Normal"/>
    <w:next w:val="Normal"/>
    <w:pPr>
      <w:numPr>
        <w:ilvl w:val="5"/>
        <w:numId w:val="3"/>
      </w:numPr>
      <w:spacing w:before="240" w:after="60"/>
      <w:outlineLvl w:val="5"/>
      <w:outlineLvl w:val="5"/>
    </w:pPr>
    <w:rPr>
      <w:b/>
      <w:bCs/>
      <w:sz w:val="22"/>
      <w:szCs w:val="22"/>
    </w:rPr>
  </w:style>
  <w:style w:type="paragraph" w:styleId="Heading7">
    <w:name w:val="Heading 7"/>
    <w:basedOn w:val="Normal"/>
    <w:next w:val="Normal"/>
    <w:pPr>
      <w:numPr>
        <w:ilvl w:val="6"/>
        <w:numId w:val="3"/>
      </w:numPr>
      <w:spacing w:before="240" w:after="60"/>
      <w:outlineLvl w:val="6"/>
      <w:outlineLvl w:val="6"/>
    </w:pPr>
    <w:rPr/>
  </w:style>
  <w:style w:type="paragraph" w:styleId="Heading8">
    <w:name w:val="Heading 8"/>
    <w:basedOn w:val="Normal"/>
    <w:next w:val="Normal"/>
    <w:pPr>
      <w:numPr>
        <w:ilvl w:val="7"/>
        <w:numId w:val="3"/>
      </w:numPr>
      <w:spacing w:before="240" w:after="60"/>
      <w:outlineLvl w:val="7"/>
      <w:outlineLvl w:val="7"/>
    </w:pPr>
    <w:rPr>
      <w:i/>
      <w:iCs/>
    </w:rPr>
  </w:style>
  <w:style w:type="paragraph" w:styleId="Heading9">
    <w:name w:val="Heading 9"/>
    <w:basedOn w:val="Normal"/>
    <w:next w:val="Normal"/>
    <w:pPr>
      <w:numPr>
        <w:ilvl w:val="8"/>
        <w:numId w:val="3"/>
      </w:numPr>
      <w:spacing w:before="240" w:after="60"/>
      <w:outlineLvl w:val="8"/>
      <w:outlineLvl w:val="8"/>
    </w:pPr>
    <w:rPr>
      <w:rFonts w:ascii="Arial" w:hAnsi="Arial" w:cs="Arial"/>
      <w:sz w:val="22"/>
      <w:szCs w:val="22"/>
    </w:rPr>
  </w:style>
  <w:style w:type="character" w:styleId="WW8Num1z0">
    <w:name w:val="WW8Num1z0"/>
    <w:rPr>
      <w:rFonts w:ascii="Wingdings 2" w:hAnsi="Wingdings 2" w:cs="Wingdings 2"/>
    </w:rPr>
  </w:style>
  <w:style w:type="character" w:styleId="WW8Num1z1">
    <w:name w:val="WW8Num1z1"/>
    <w:rPr>
      <w:rFonts w:ascii="Courier New" w:hAnsi="Courier New" w:cs="Courier New"/>
    </w:rPr>
  </w:style>
  <w:style w:type="character" w:styleId="WW8Num1z2">
    <w:name w:val="WW8Num1z2"/>
    <w:rPr>
      <w:rFonts w:ascii="Marlett" w:hAnsi="Marlett" w:cs="Marlett"/>
    </w:rPr>
  </w:style>
  <w:style w:type="character" w:styleId="WW8Num1z3">
    <w:name w:val="WW8Num1z3"/>
    <w:rPr>
      <w:rFonts w:ascii="Symbol" w:hAnsi="Symbol" w:cs="Symbol"/>
    </w:rPr>
  </w:style>
  <w:style w:type="character" w:styleId="WW8Num2z0">
    <w:name w:val="WW8Num2z0"/>
    <w:rPr>
      <w:rFonts w:ascii="Times New Roman" w:hAnsi="Times New Roman" w:cs="Times New Roman"/>
      <w:b w:val="false"/>
      <w:i w:val="false"/>
      <w:sz w:val="24"/>
      <w:szCs w:val="24"/>
    </w:rPr>
  </w:style>
  <w:style w:type="character" w:styleId="WW8Num2z3">
    <w:name w:val="WW8Num2z3"/>
    <w:rPr/>
  </w:style>
  <w:style w:type="character" w:styleId="WW8Num2z5">
    <w:name w:val="WW8Num2z5"/>
    <w:rPr/>
  </w:style>
  <w:style w:type="character" w:styleId="WW8Num2z6">
    <w:name w:val="WW8Num2z6"/>
    <w:rPr/>
  </w:style>
  <w:style w:type="character" w:styleId="WW8Num2z7">
    <w:name w:val="WW8Num2z7"/>
    <w:rPr/>
  </w:style>
  <w:style w:type="character" w:styleId="WW8Num2z8">
    <w:name w:val="WW8Num2z8"/>
    <w:rPr/>
  </w:style>
  <w:style w:type="character" w:styleId="DefaultParagraphFont">
    <w:name w:val="Default Paragraph Font"/>
    <w:rPr/>
  </w:style>
  <w:style w:type="character" w:styleId="InternetLink">
    <w:name w:val="Internet Link"/>
    <w:basedOn w:val="DefaultParagraphFont"/>
    <w:rPr>
      <w:color w:val="0000FF"/>
      <w:u w:val="single"/>
    </w:rPr>
  </w:style>
  <w:style w:type="character" w:styleId="PageNumber">
    <w:name w:val="Page Number"/>
    <w:basedOn w:val="DefaultParagraphFont"/>
    <w:rPr/>
  </w:style>
  <w:style w:type="character" w:styleId="FootnoteCharacters">
    <w:name w:val="Footnote Characters"/>
    <w:basedOn w:val="DefaultParagraphFont"/>
    <w:rPr>
      <w:vertAlign w:val="superscript"/>
    </w:rPr>
  </w:style>
  <w:style w:type="character" w:styleId="CommentReference">
    <w:name w:val="Comment Reference"/>
    <w:basedOn w:val="DefaultParagraphFont"/>
    <w:rPr>
      <w:sz w:val="16"/>
      <w:szCs w:val="16"/>
    </w:rPr>
  </w:style>
  <w:style w:type="character" w:styleId="FootnoteAnchor">
    <w:name w:val="Footnote Anchor"/>
    <w:rPr>
      <w:vertAlign w:val="superscript"/>
    </w:rPr>
  </w:style>
  <w:style w:type="character" w:styleId="EndnoteAnchor">
    <w:name w:val="Endnote Anchor"/>
    <w:rPr>
      <w:vertAlign w:val="superscript"/>
    </w:rPr>
  </w:style>
  <w:style w:type="character" w:styleId="EndnoteCharacters">
    <w:name w:val="Endnote Character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Footer">
    <w:name w:val="Footer"/>
    <w:basedOn w:val="Normal"/>
    <w:pPr>
      <w:tabs>
        <w:tab w:val="center" w:pos="4320" w:leader="none"/>
        <w:tab w:val="right" w:pos="8640" w:leader="none"/>
      </w:tabs>
    </w:pPr>
    <w:rPr/>
  </w:style>
  <w:style w:type="paragraph" w:styleId="Header">
    <w:name w:val="Header"/>
    <w:basedOn w:val="Normal"/>
    <w:pPr>
      <w:tabs>
        <w:tab w:val="center" w:pos="4320" w:leader="none"/>
        <w:tab w:val="right" w:pos="8640" w:leader="none"/>
      </w:tabs>
    </w:pPr>
    <w:rPr/>
  </w:style>
  <w:style w:type="paragraph" w:styleId="Footnote">
    <w:name w:val="Footnote"/>
    <w:basedOn w:val="Normal"/>
    <w:pPr/>
    <w:rPr>
      <w:sz w:val="20"/>
      <w:szCs w:val="20"/>
    </w:rPr>
  </w:style>
  <w:style w:type="paragraph" w:styleId="CommentText">
    <w:name w:val="Comment Text"/>
    <w:basedOn w:val="Normal"/>
    <w:pPr/>
    <w:rPr>
      <w:sz w:val="20"/>
      <w:szCs w:val="20"/>
    </w:rPr>
  </w:style>
  <w:style w:type="paragraph" w:styleId="CommentSubject">
    <w:name w:val="Comment Subject"/>
    <w:basedOn w:val="CommentText"/>
    <w:next w:val="CommentText"/>
    <w:pPr/>
    <w:rPr>
      <w:b/>
      <w:bCs/>
    </w:rPr>
  </w:style>
  <w:style w:type="paragraph" w:styleId="BalloonText">
    <w:name w:val="Balloon Text"/>
    <w:basedOn w:val="Normal"/>
    <w:pPr/>
    <w:rPr>
      <w:rFonts w:ascii="Tahoma" w:hAnsi="Tahoma" w:cs="Tahoma"/>
      <w:sz w:val="16"/>
      <w:szCs w:val="16"/>
    </w:rPr>
  </w:style>
  <w:style w:type="paragraph" w:styleId="FrameContents">
    <w:name w:val="Frame Contents"/>
    <w:basedOn w:val="Normal"/>
    <w:pPr/>
    <w:rPr/>
  </w:style>
  <w:style w:type="numbering" w:styleId="WW8Num1">
    <w:name w:val="WW8Num1"/>
  </w:style>
  <w:style w:type="numbering" w:styleId="WW8Num2">
    <w:name w:val="WW8Num2"/>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notes" Target="footnotes.xml"/><Relationship Id="rId5" Type="http://schemas.openxmlformats.org/officeDocument/2006/relationships/comments" Target="comment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Template>
  <TotalTime>41220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2006-11-14T11:00:00Z</dcterms:created>
  <dc:creator>Gary</dc:creator>
  <dc:language>en-IN</dc:language>
  <cp:lastModifiedBy>Gary</cp:lastModifiedBy>
  <cp:lastPrinted>2006-11-14T21:49:00Z</cp:lastPrinted>
  <dcterms:modified xsi:type="dcterms:W3CDTF">2007-12-11T07:13:00Z</dcterms:modified>
  <cp:revision>30</cp:revision>
  <dc:title>THESIS OUTLINE</dc:title>
</cp:coreProperties>
</file>